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7DCF" w14:textId="77777777" w:rsidR="00297DB7" w:rsidRDefault="00484B9A" w:rsidP="00C35B50">
      <w:pPr>
        <w:pStyle w:val="Heading"/>
        <w:jc w:val="center"/>
        <w:rPr>
          <w:rFonts w:asciiTheme="minorHAnsi" w:hAnsiTheme="minorHAnsi"/>
          <w:b/>
          <w:bCs/>
          <w:color w:val="156082" w:themeColor="accent1"/>
          <w:sz w:val="30"/>
          <w:szCs w:val="30"/>
        </w:rPr>
      </w:pPr>
      <w:r w:rsidRPr="00C35B50">
        <w:rPr>
          <w:rFonts w:asciiTheme="minorHAnsi" w:hAnsiTheme="minorHAnsi"/>
          <w:b/>
          <w:bCs/>
          <w:color w:val="156082" w:themeColor="accent1"/>
          <w:sz w:val="30"/>
          <w:szCs w:val="30"/>
        </w:rPr>
        <w:t xml:space="preserve">Joint Statement on preserving net neutrality in the upcoming Digital Networks Act  </w:t>
      </w:r>
    </w:p>
    <w:p w14:paraId="7EF03D46" w14:textId="157E54AD" w:rsidR="00C35B50" w:rsidRPr="004058F3" w:rsidRDefault="00AF3A65" w:rsidP="00C35B50">
      <w:pPr>
        <w:pStyle w:val="BodyText"/>
        <w:jc w:val="right"/>
        <w:rPr>
          <w:sz w:val="22"/>
          <w:szCs w:val="22"/>
        </w:rPr>
      </w:pPr>
      <w:r>
        <w:rPr>
          <w:sz w:val="22"/>
          <w:szCs w:val="22"/>
        </w:rPr>
        <w:t>9</w:t>
      </w:r>
      <w:r w:rsidR="004A144A">
        <w:rPr>
          <w:sz w:val="22"/>
          <w:szCs w:val="22"/>
        </w:rPr>
        <w:t xml:space="preserve"> </w:t>
      </w:r>
      <w:r w:rsidR="00C35B50" w:rsidRPr="004058F3">
        <w:rPr>
          <w:sz w:val="22"/>
          <w:szCs w:val="22"/>
        </w:rPr>
        <w:t>July 2025</w:t>
      </w:r>
    </w:p>
    <w:p w14:paraId="267570F3" w14:textId="77777777" w:rsidR="00297DB7" w:rsidRPr="00DE1162" w:rsidRDefault="00484B9A">
      <w:pPr>
        <w:spacing w:line="360" w:lineRule="auto"/>
        <w:jc w:val="both"/>
        <w:rPr>
          <w:sz w:val="22"/>
          <w:szCs w:val="22"/>
        </w:rPr>
      </w:pPr>
      <w:r w:rsidRPr="00DE1162">
        <w:rPr>
          <w:sz w:val="22"/>
          <w:szCs w:val="22"/>
        </w:rPr>
        <w:t xml:space="preserve">As the European Commission prepares an upcoming proposal for a Digital Networks Act (DNA), the undersigned </w:t>
      </w:r>
      <w:proofErr w:type="spellStart"/>
      <w:r w:rsidRPr="00DE1162">
        <w:rPr>
          <w:sz w:val="22"/>
          <w:szCs w:val="22"/>
        </w:rPr>
        <w:t>organisations</w:t>
      </w:r>
      <w:proofErr w:type="spellEnd"/>
      <w:r w:rsidRPr="00DE1162">
        <w:rPr>
          <w:sz w:val="22"/>
          <w:szCs w:val="22"/>
        </w:rPr>
        <w:t xml:space="preserve"> and civil society groups wish to reaffirm their collective concern about the direction of ongoing discussions in the EU telecoms sector.  </w:t>
      </w:r>
    </w:p>
    <w:p w14:paraId="027AF2C6" w14:textId="4088AD76" w:rsidR="00297DB7" w:rsidRPr="00DE1162" w:rsidRDefault="00484B9A">
      <w:pPr>
        <w:spacing w:line="360" w:lineRule="auto"/>
        <w:jc w:val="both"/>
        <w:rPr>
          <w:sz w:val="22"/>
          <w:szCs w:val="22"/>
        </w:rPr>
      </w:pPr>
      <w:r w:rsidRPr="00DE1162">
        <w:rPr>
          <w:sz w:val="22"/>
          <w:szCs w:val="22"/>
        </w:rPr>
        <w:t xml:space="preserve">We are concerned about the continued calls by large telecom companies to introduce in the DNA proposal a dispute resolution mechanism for the Internet’s interconnection ecosystem. </w:t>
      </w:r>
      <w:r w:rsidR="00254693" w:rsidRPr="00DE1162">
        <w:rPr>
          <w:sz w:val="22"/>
          <w:szCs w:val="22"/>
        </w:rPr>
        <w:t>We regret that these proposals, first put forward by some telecom operators in 2022 as part of broader “Fair Share” mechanisms</w:t>
      </w:r>
      <w:r w:rsidR="00254693" w:rsidRPr="00DE1162">
        <w:rPr>
          <w:rStyle w:val="FootnoteReference"/>
          <w:sz w:val="22"/>
          <w:szCs w:val="22"/>
        </w:rPr>
        <w:footnoteReference w:id="1"/>
      </w:r>
      <w:r w:rsidR="00254693" w:rsidRPr="00DE1162">
        <w:rPr>
          <w:sz w:val="22"/>
          <w:szCs w:val="22"/>
        </w:rPr>
        <w:t xml:space="preserve">, are still being actively considered in ongoing discussions on the future of the EU telecoms sector. </w:t>
      </w:r>
      <w:r w:rsidRPr="00DE1162">
        <w:rPr>
          <w:sz w:val="22"/>
          <w:szCs w:val="22"/>
        </w:rPr>
        <w:t xml:space="preserve">As described by the </w:t>
      </w:r>
      <w:r w:rsidR="00A967B6" w:rsidRPr="00DE1162">
        <w:rPr>
          <w:sz w:val="22"/>
          <w:szCs w:val="22"/>
        </w:rPr>
        <w:t xml:space="preserve">large </w:t>
      </w:r>
      <w:r w:rsidRPr="00DE1162">
        <w:rPr>
          <w:sz w:val="22"/>
          <w:szCs w:val="22"/>
        </w:rPr>
        <w:t>telecom operators themselves</w:t>
      </w:r>
      <w:r w:rsidRPr="00DE1162">
        <w:rPr>
          <w:rStyle w:val="FootnoteReference"/>
          <w:sz w:val="22"/>
          <w:szCs w:val="22"/>
        </w:rPr>
        <w:footnoteReference w:id="2"/>
      </w:r>
      <w:r w:rsidRPr="00DE1162">
        <w:rPr>
          <w:sz w:val="22"/>
          <w:szCs w:val="22"/>
        </w:rPr>
        <w:t xml:space="preserve">, the goal of such a mechanism is to implement a so-called “fair share” settlement regime, whereby content and application providers (CAPs) would be required to pay telecom companies mandatory fees for delivering traffic. </w:t>
      </w:r>
      <w:r w:rsidR="00E02071" w:rsidRPr="00DE1162" w:rsidDel="00E02071">
        <w:rPr>
          <w:sz w:val="22"/>
          <w:szCs w:val="22"/>
        </w:rPr>
        <w:t xml:space="preserve"> </w:t>
      </w:r>
    </w:p>
    <w:p w14:paraId="28D14251" w14:textId="73E4F84A" w:rsidR="009A280A" w:rsidRDefault="00484B9A" w:rsidP="009A3B20">
      <w:pPr>
        <w:spacing w:line="360" w:lineRule="auto"/>
        <w:jc w:val="both"/>
        <w:rPr>
          <w:sz w:val="22"/>
          <w:szCs w:val="22"/>
          <w:lang w:val="en-GB"/>
        </w:rPr>
      </w:pPr>
      <w:r w:rsidRPr="00DE1162">
        <w:rPr>
          <w:sz w:val="22"/>
          <w:szCs w:val="22"/>
        </w:rPr>
        <w:t xml:space="preserve">We firmly oppose the introduction of such </w:t>
      </w:r>
      <w:r w:rsidR="000F1EC6" w:rsidRPr="00DE1162">
        <w:rPr>
          <w:sz w:val="22"/>
          <w:szCs w:val="22"/>
        </w:rPr>
        <w:t>mechanism in EU law</w:t>
      </w:r>
      <w:r w:rsidRPr="00DE1162">
        <w:rPr>
          <w:sz w:val="22"/>
          <w:szCs w:val="22"/>
        </w:rPr>
        <w:t xml:space="preserve">, </w:t>
      </w:r>
      <w:r w:rsidR="009A3B20" w:rsidRPr="00DE1162">
        <w:rPr>
          <w:sz w:val="22"/>
          <w:szCs w:val="22"/>
        </w:rPr>
        <w:t>which</w:t>
      </w:r>
      <w:r w:rsidRPr="00DE1162">
        <w:rPr>
          <w:sz w:val="22"/>
          <w:szCs w:val="22"/>
        </w:rPr>
        <w:t xml:space="preserve"> </w:t>
      </w:r>
      <w:r w:rsidR="00401488" w:rsidRPr="00DE1162">
        <w:rPr>
          <w:sz w:val="22"/>
          <w:szCs w:val="22"/>
        </w:rPr>
        <w:t xml:space="preserve">risks </w:t>
      </w:r>
      <w:r w:rsidRPr="00DE1162">
        <w:rPr>
          <w:sz w:val="22"/>
          <w:szCs w:val="22"/>
        </w:rPr>
        <w:t>undermin</w:t>
      </w:r>
      <w:r w:rsidR="00544DDC" w:rsidRPr="00DE1162">
        <w:rPr>
          <w:sz w:val="22"/>
          <w:szCs w:val="22"/>
        </w:rPr>
        <w:t>ing</w:t>
      </w:r>
      <w:r w:rsidRPr="00DE1162">
        <w:rPr>
          <w:sz w:val="22"/>
          <w:szCs w:val="22"/>
        </w:rPr>
        <w:t xml:space="preserve"> net neutrality</w:t>
      </w:r>
      <w:r w:rsidR="009A280A">
        <w:rPr>
          <w:sz w:val="22"/>
          <w:szCs w:val="22"/>
        </w:rPr>
        <w:t xml:space="preserve"> and</w:t>
      </w:r>
      <w:r w:rsidRPr="00DE1162">
        <w:rPr>
          <w:sz w:val="22"/>
          <w:szCs w:val="22"/>
        </w:rPr>
        <w:t xml:space="preserve"> Open Internet principles</w:t>
      </w:r>
      <w:r w:rsidR="009A280A">
        <w:rPr>
          <w:sz w:val="22"/>
          <w:szCs w:val="22"/>
        </w:rPr>
        <w:t xml:space="preserve">. This would have </w:t>
      </w:r>
      <w:r w:rsidRPr="00DE1162">
        <w:rPr>
          <w:sz w:val="22"/>
          <w:szCs w:val="22"/>
          <w:lang w:val="en-GB"/>
        </w:rPr>
        <w:t>immediate and far-reaching consequences, harming</w:t>
      </w:r>
      <w:r w:rsidR="00CF0840">
        <w:rPr>
          <w:sz w:val="22"/>
          <w:szCs w:val="22"/>
          <w:lang w:val="en-GB"/>
        </w:rPr>
        <w:t xml:space="preserve"> European</w:t>
      </w:r>
      <w:r w:rsidRPr="00DE1162">
        <w:rPr>
          <w:sz w:val="22"/>
          <w:szCs w:val="22"/>
          <w:lang w:val="en-GB"/>
        </w:rPr>
        <w:t xml:space="preserve"> consumers</w:t>
      </w:r>
      <w:r w:rsidR="00B82C03" w:rsidRPr="00DE1162">
        <w:rPr>
          <w:rStyle w:val="FootnoteReference"/>
          <w:sz w:val="22"/>
          <w:szCs w:val="22"/>
          <w:lang w:val="en-GB"/>
        </w:rPr>
        <w:footnoteReference w:id="3"/>
      </w:r>
      <w:r w:rsidRPr="00DE1162">
        <w:rPr>
          <w:sz w:val="22"/>
          <w:szCs w:val="22"/>
          <w:lang w:val="en-GB"/>
        </w:rPr>
        <w:t>, businesses</w:t>
      </w:r>
      <w:r w:rsidR="009710B3" w:rsidRPr="00DE1162">
        <w:rPr>
          <w:sz w:val="22"/>
          <w:szCs w:val="22"/>
          <w:lang w:val="en-GB"/>
        </w:rPr>
        <w:t>, digital rights</w:t>
      </w:r>
      <w:r w:rsidR="00200F96">
        <w:rPr>
          <w:sz w:val="22"/>
          <w:szCs w:val="22"/>
          <w:lang w:val="en-GB"/>
        </w:rPr>
        <w:t xml:space="preserve"> and </w:t>
      </w:r>
      <w:r w:rsidR="009A280A" w:rsidRPr="00DE1162">
        <w:rPr>
          <w:sz w:val="22"/>
          <w:szCs w:val="22"/>
        </w:rPr>
        <w:t>the sustainability of the creative and cultural sectors</w:t>
      </w:r>
      <w:r w:rsidR="009A280A">
        <w:rPr>
          <w:sz w:val="22"/>
          <w:szCs w:val="22"/>
        </w:rPr>
        <w:t>,</w:t>
      </w:r>
      <w:r w:rsidR="009A280A">
        <w:rPr>
          <w:sz w:val="22"/>
          <w:szCs w:val="22"/>
          <w:lang w:val="en-GB"/>
        </w:rPr>
        <w:t xml:space="preserve"> </w:t>
      </w:r>
      <w:r w:rsidR="009A280A" w:rsidRPr="009A280A">
        <w:rPr>
          <w:sz w:val="22"/>
          <w:szCs w:val="22"/>
        </w:rPr>
        <w:t>ultimately risking a fragmented Internet</w:t>
      </w:r>
      <w:r w:rsidR="00427DE9">
        <w:rPr>
          <w:rStyle w:val="FootnoteReference"/>
          <w:sz w:val="22"/>
          <w:szCs w:val="22"/>
        </w:rPr>
        <w:footnoteReference w:id="4"/>
      </w:r>
      <w:r w:rsidR="003A456E">
        <w:rPr>
          <w:sz w:val="22"/>
          <w:szCs w:val="22"/>
        </w:rPr>
        <w:t xml:space="preserve"> </w:t>
      </w:r>
      <w:r w:rsidR="009A280A" w:rsidRPr="009A280A">
        <w:rPr>
          <w:sz w:val="22"/>
          <w:szCs w:val="22"/>
        </w:rPr>
        <w:t>and single market</w:t>
      </w:r>
      <w:r w:rsidR="009A280A">
        <w:rPr>
          <w:sz w:val="22"/>
          <w:szCs w:val="22"/>
        </w:rPr>
        <w:t xml:space="preserve">. </w:t>
      </w:r>
    </w:p>
    <w:p w14:paraId="52A7E38A" w14:textId="57E93BBA" w:rsidR="00297DB7" w:rsidRPr="00DE1162" w:rsidRDefault="009A280A" w:rsidP="009A3B20">
      <w:pPr>
        <w:spacing w:line="360" w:lineRule="auto"/>
        <w:jc w:val="both"/>
        <w:rPr>
          <w:sz w:val="22"/>
          <w:szCs w:val="22"/>
          <w:lang w:val="en-GB"/>
        </w:rPr>
      </w:pPr>
      <w:r>
        <w:rPr>
          <w:sz w:val="22"/>
          <w:szCs w:val="22"/>
          <w:lang w:val="en-GB"/>
        </w:rPr>
        <w:t>M</w:t>
      </w:r>
      <w:r w:rsidR="009A3B20" w:rsidRPr="00DE1162">
        <w:rPr>
          <w:sz w:val="22"/>
          <w:szCs w:val="22"/>
          <w:lang w:val="en-GB"/>
        </w:rPr>
        <w:t>easures i</w:t>
      </w:r>
      <w:r w:rsidR="00484B9A" w:rsidRPr="00DE1162">
        <w:rPr>
          <w:sz w:val="22"/>
          <w:szCs w:val="22"/>
          <w:lang w:val="en-GB"/>
        </w:rPr>
        <w:t xml:space="preserve">ntroducing interconnection charges would </w:t>
      </w:r>
      <w:r w:rsidR="009710B3" w:rsidRPr="00DE1162">
        <w:rPr>
          <w:sz w:val="22"/>
          <w:szCs w:val="22"/>
          <w:lang w:val="en-GB"/>
        </w:rPr>
        <w:t>risk driving-up costs, limiting choice and open access to information, undermining the affordability, quality, and diversity of digital products and services</w:t>
      </w:r>
      <w:r w:rsidR="009877BE" w:rsidRPr="00DE1162">
        <w:rPr>
          <w:sz w:val="22"/>
          <w:szCs w:val="22"/>
          <w:lang w:val="en-GB"/>
        </w:rPr>
        <w:t xml:space="preserve">. </w:t>
      </w:r>
      <w:r w:rsidRPr="00DE1162">
        <w:rPr>
          <w:sz w:val="22"/>
          <w:szCs w:val="22"/>
        </w:rPr>
        <w:t>If targeting EU operators, these measures would be particularly detrimental to the EU ecosystem.</w:t>
      </w:r>
      <w:r>
        <w:rPr>
          <w:sz w:val="22"/>
          <w:szCs w:val="22"/>
          <w:lang w:val="en-GB"/>
        </w:rPr>
        <w:t xml:space="preserve"> </w:t>
      </w:r>
      <w:r w:rsidR="009877BE" w:rsidRPr="00DE1162">
        <w:rPr>
          <w:sz w:val="22"/>
          <w:szCs w:val="22"/>
          <w:lang w:val="en-GB"/>
        </w:rPr>
        <w:t>This would</w:t>
      </w:r>
      <w:r w:rsidR="009710B3" w:rsidRPr="00DE1162">
        <w:rPr>
          <w:sz w:val="22"/>
          <w:szCs w:val="22"/>
          <w:lang w:val="en-GB"/>
        </w:rPr>
        <w:t xml:space="preserve"> ultimately </w:t>
      </w:r>
      <w:r w:rsidR="00484B9A" w:rsidRPr="00DE1162">
        <w:rPr>
          <w:sz w:val="22"/>
          <w:szCs w:val="22"/>
          <w:lang w:val="en-GB"/>
        </w:rPr>
        <w:t>lead to higher subscription prices for consumer</w:t>
      </w:r>
      <w:r w:rsidR="006E0A5B" w:rsidRPr="00DE1162">
        <w:rPr>
          <w:sz w:val="22"/>
          <w:szCs w:val="22"/>
          <w:lang w:val="en-GB"/>
        </w:rPr>
        <w:t>s</w:t>
      </w:r>
      <w:r w:rsidR="00572A9D" w:rsidRPr="00DE1162">
        <w:rPr>
          <w:sz w:val="22"/>
          <w:szCs w:val="22"/>
          <w:lang w:val="en-GB"/>
        </w:rPr>
        <w:t xml:space="preserve"> and disadvantage European</w:t>
      </w:r>
      <w:r w:rsidR="008F04EA" w:rsidRPr="00DE1162">
        <w:rPr>
          <w:sz w:val="22"/>
          <w:szCs w:val="22"/>
          <w:lang w:val="en-GB"/>
        </w:rPr>
        <w:t xml:space="preserve"> CAPs</w:t>
      </w:r>
      <w:r w:rsidR="00572A9D" w:rsidRPr="00DE1162">
        <w:rPr>
          <w:sz w:val="22"/>
          <w:szCs w:val="22"/>
          <w:lang w:val="en-GB"/>
        </w:rPr>
        <w:t>,</w:t>
      </w:r>
      <w:r w:rsidR="00CE470F" w:rsidRPr="00DE1162">
        <w:rPr>
          <w:sz w:val="22"/>
          <w:szCs w:val="22"/>
          <w:lang w:val="en-GB"/>
        </w:rPr>
        <w:t xml:space="preserve"> </w:t>
      </w:r>
      <w:r>
        <w:rPr>
          <w:sz w:val="22"/>
          <w:szCs w:val="22"/>
          <w:lang w:val="en-GB"/>
        </w:rPr>
        <w:t xml:space="preserve">undermining </w:t>
      </w:r>
      <w:r w:rsidR="00CE470F" w:rsidRPr="00DE1162">
        <w:rPr>
          <w:sz w:val="22"/>
          <w:szCs w:val="22"/>
          <w:lang w:val="en-GB"/>
        </w:rPr>
        <w:t>investment in content</w:t>
      </w:r>
      <w:r>
        <w:rPr>
          <w:sz w:val="22"/>
          <w:szCs w:val="22"/>
          <w:lang w:val="en-GB"/>
        </w:rPr>
        <w:t xml:space="preserve"> creation and limiting consumer choice</w:t>
      </w:r>
      <w:r w:rsidR="00FF207E" w:rsidRPr="00DE1162">
        <w:rPr>
          <w:sz w:val="22"/>
          <w:szCs w:val="22"/>
          <w:lang w:val="en-GB"/>
        </w:rPr>
        <w:t xml:space="preserve">. </w:t>
      </w:r>
      <w:r w:rsidR="00521641" w:rsidRPr="00DE1162">
        <w:rPr>
          <w:sz w:val="22"/>
          <w:szCs w:val="22"/>
          <w:lang w:val="en-GB"/>
        </w:rPr>
        <w:t>In addition, i</w:t>
      </w:r>
      <w:r w:rsidR="00FF207E" w:rsidRPr="00DE1162">
        <w:rPr>
          <w:sz w:val="22"/>
          <w:szCs w:val="22"/>
          <w:lang w:val="en-GB"/>
        </w:rPr>
        <w:t>t would also</w:t>
      </w:r>
      <w:r w:rsidR="00AF2DED" w:rsidRPr="00DE1162">
        <w:rPr>
          <w:sz w:val="22"/>
          <w:szCs w:val="22"/>
          <w:lang w:val="en-GB"/>
        </w:rPr>
        <w:t xml:space="preserve"> further raise</w:t>
      </w:r>
      <w:r w:rsidR="00572A9D" w:rsidRPr="00DE1162">
        <w:rPr>
          <w:sz w:val="22"/>
          <w:szCs w:val="22"/>
          <w:lang w:val="en-GB"/>
        </w:rPr>
        <w:t xml:space="preserve"> </w:t>
      </w:r>
      <w:r w:rsidR="00595D47" w:rsidRPr="00DE1162">
        <w:rPr>
          <w:sz w:val="22"/>
          <w:szCs w:val="22"/>
          <w:lang w:val="en-GB"/>
        </w:rPr>
        <w:t>market entry barriers</w:t>
      </w:r>
      <w:r w:rsidR="008F04EA" w:rsidRPr="00DE1162">
        <w:rPr>
          <w:rStyle w:val="FootnoteReference"/>
          <w:sz w:val="22"/>
          <w:szCs w:val="22"/>
          <w:lang w:val="en-GB"/>
        </w:rPr>
        <w:footnoteReference w:id="5"/>
      </w:r>
      <w:r w:rsidR="002E292D" w:rsidRPr="00DE1162">
        <w:rPr>
          <w:sz w:val="22"/>
          <w:szCs w:val="22"/>
          <w:lang w:val="en-GB"/>
        </w:rPr>
        <w:t xml:space="preserve"> for </w:t>
      </w:r>
      <w:r w:rsidR="002E292D" w:rsidRPr="00DE1162">
        <w:rPr>
          <w:sz w:val="22"/>
          <w:szCs w:val="22"/>
          <w:lang w:val="en-GB"/>
        </w:rPr>
        <w:lastRenderedPageBreak/>
        <w:t>European SMEs</w:t>
      </w:r>
      <w:r w:rsidR="00595D47" w:rsidRPr="00DE1162">
        <w:rPr>
          <w:sz w:val="22"/>
          <w:szCs w:val="22"/>
          <w:lang w:val="en-GB"/>
        </w:rPr>
        <w:t xml:space="preserve"> and</w:t>
      </w:r>
      <w:r w:rsidR="00DF0478" w:rsidRPr="00DE1162">
        <w:rPr>
          <w:sz w:val="22"/>
          <w:szCs w:val="22"/>
          <w:lang w:val="en-GB"/>
        </w:rPr>
        <w:t xml:space="preserve"> </w:t>
      </w:r>
      <w:r w:rsidR="00686E70" w:rsidRPr="00DE1162">
        <w:rPr>
          <w:sz w:val="22"/>
          <w:szCs w:val="22"/>
          <w:lang w:val="en-GB"/>
        </w:rPr>
        <w:t>start-ups</w:t>
      </w:r>
      <w:r w:rsidR="00C16045" w:rsidRPr="00DE1162">
        <w:rPr>
          <w:rStyle w:val="FootnoteReference"/>
          <w:sz w:val="22"/>
          <w:szCs w:val="22"/>
          <w:lang w:val="en-GB"/>
        </w:rPr>
        <w:footnoteReference w:id="6"/>
      </w:r>
      <w:r w:rsidR="00DF0478" w:rsidRPr="00DE1162">
        <w:rPr>
          <w:sz w:val="22"/>
          <w:szCs w:val="22"/>
          <w:lang w:val="en-GB"/>
        </w:rPr>
        <w:t>,</w:t>
      </w:r>
      <w:r w:rsidR="00595D47" w:rsidRPr="00DE1162">
        <w:rPr>
          <w:sz w:val="22"/>
          <w:szCs w:val="22"/>
          <w:lang w:val="en-GB"/>
        </w:rPr>
        <w:t xml:space="preserve"> strengthening the position of a small number of incumb</w:t>
      </w:r>
      <w:r w:rsidR="00735B78" w:rsidRPr="00DE1162">
        <w:rPr>
          <w:sz w:val="22"/>
          <w:szCs w:val="22"/>
          <w:lang w:val="en-GB"/>
        </w:rPr>
        <w:t xml:space="preserve">ent telecom operators </w:t>
      </w:r>
      <w:r w:rsidR="006E0A5B" w:rsidRPr="00DE1162">
        <w:rPr>
          <w:sz w:val="22"/>
          <w:szCs w:val="22"/>
          <w:lang w:val="en-GB"/>
        </w:rPr>
        <w:t xml:space="preserve">exploiting </w:t>
      </w:r>
      <w:r w:rsidR="00735B78" w:rsidRPr="00DE1162">
        <w:rPr>
          <w:sz w:val="22"/>
          <w:szCs w:val="22"/>
          <w:lang w:val="en-GB"/>
        </w:rPr>
        <w:t xml:space="preserve">their terminational monopoly. </w:t>
      </w:r>
    </w:p>
    <w:p w14:paraId="0DD100D9" w14:textId="1FBB5EFC" w:rsidR="00297DB7" w:rsidRPr="00DE1162" w:rsidRDefault="00484B9A">
      <w:pPr>
        <w:spacing w:line="360" w:lineRule="auto"/>
        <w:jc w:val="both"/>
        <w:rPr>
          <w:sz w:val="22"/>
          <w:szCs w:val="22"/>
          <w:lang w:val="en-GB"/>
        </w:rPr>
      </w:pPr>
      <w:r w:rsidRPr="00DE1162">
        <w:rPr>
          <w:sz w:val="22"/>
          <w:szCs w:val="22"/>
          <w:lang w:val="en-GB"/>
        </w:rPr>
        <w:t>We recall that these proposals have already received a clear rejection by the vast majority of relevant stakeholders</w:t>
      </w:r>
      <w:r w:rsidRPr="00DE1162">
        <w:rPr>
          <w:rStyle w:val="FootnoteReference"/>
          <w:sz w:val="22"/>
          <w:szCs w:val="22"/>
          <w:lang w:val="en-GB"/>
        </w:rPr>
        <w:footnoteReference w:id="7"/>
      </w:r>
      <w:r w:rsidRPr="00DE1162">
        <w:rPr>
          <w:sz w:val="22"/>
          <w:szCs w:val="22"/>
          <w:lang w:val="en-GB"/>
        </w:rPr>
        <w:t xml:space="preserve"> in previous wide-ranging public consultations </w:t>
      </w:r>
      <w:r w:rsidR="00905A9F" w:rsidRPr="00DE1162">
        <w:rPr>
          <w:sz w:val="22"/>
          <w:szCs w:val="22"/>
          <w:lang w:val="en-GB"/>
        </w:rPr>
        <w:t xml:space="preserve">because of </w:t>
      </w:r>
      <w:r w:rsidR="00B64591" w:rsidRPr="00DE1162">
        <w:rPr>
          <w:sz w:val="22"/>
          <w:szCs w:val="22"/>
          <w:lang w:val="en-GB"/>
        </w:rPr>
        <w:t>their counterproductive</w:t>
      </w:r>
      <w:r w:rsidRPr="00DE1162">
        <w:rPr>
          <w:sz w:val="22"/>
          <w:szCs w:val="22"/>
          <w:lang w:val="en-GB"/>
        </w:rPr>
        <w:t xml:space="preserve"> effects for </w:t>
      </w:r>
      <w:r w:rsidR="009A280A">
        <w:rPr>
          <w:sz w:val="22"/>
          <w:szCs w:val="22"/>
          <w:lang w:val="en-GB"/>
        </w:rPr>
        <w:t xml:space="preserve">European </w:t>
      </w:r>
      <w:r w:rsidRPr="00DE1162">
        <w:rPr>
          <w:sz w:val="22"/>
          <w:szCs w:val="22"/>
          <w:lang w:val="en-GB"/>
        </w:rPr>
        <w:t>consumers</w:t>
      </w:r>
      <w:r w:rsidR="009A280A">
        <w:rPr>
          <w:sz w:val="22"/>
          <w:szCs w:val="22"/>
          <w:lang w:val="en-GB"/>
        </w:rPr>
        <w:t xml:space="preserve">, </w:t>
      </w:r>
      <w:r w:rsidRPr="00DE1162">
        <w:rPr>
          <w:sz w:val="22"/>
          <w:szCs w:val="22"/>
          <w:lang w:val="en-GB"/>
        </w:rPr>
        <w:t>digital rights, competition</w:t>
      </w:r>
      <w:r w:rsidR="00872290" w:rsidRPr="00DE1162">
        <w:rPr>
          <w:rStyle w:val="FootnoteReference"/>
          <w:sz w:val="22"/>
          <w:szCs w:val="22"/>
          <w:lang w:val="en-GB"/>
        </w:rPr>
        <w:footnoteReference w:id="8"/>
      </w:r>
      <w:r w:rsidR="00BC59AF" w:rsidRPr="00DE1162">
        <w:rPr>
          <w:sz w:val="22"/>
          <w:szCs w:val="22"/>
          <w:lang w:val="en-GB"/>
        </w:rPr>
        <w:t>,</w:t>
      </w:r>
      <w:r w:rsidR="007F507F" w:rsidRPr="00DE1162">
        <w:rPr>
          <w:sz w:val="22"/>
          <w:szCs w:val="22"/>
          <w:lang w:val="en-GB"/>
        </w:rPr>
        <w:t xml:space="preserve"> creative and cultural sectors,</w:t>
      </w:r>
      <w:r w:rsidR="00BC59AF" w:rsidRPr="00DE1162">
        <w:rPr>
          <w:sz w:val="22"/>
          <w:szCs w:val="22"/>
          <w:lang w:val="en-GB"/>
        </w:rPr>
        <w:t xml:space="preserve"> </w:t>
      </w:r>
      <w:r w:rsidR="006B750B" w:rsidRPr="00DE1162">
        <w:rPr>
          <w:sz w:val="22"/>
          <w:szCs w:val="22"/>
          <w:lang w:val="en-GB"/>
        </w:rPr>
        <w:t xml:space="preserve">innovation </w:t>
      </w:r>
      <w:r w:rsidRPr="00DE1162">
        <w:rPr>
          <w:sz w:val="22"/>
          <w:szCs w:val="22"/>
          <w:lang w:val="en-GB"/>
        </w:rPr>
        <w:t xml:space="preserve">and net neutrality.  </w:t>
      </w:r>
    </w:p>
    <w:p w14:paraId="0FCED614" w14:textId="7237BED0" w:rsidR="00B0104B" w:rsidRPr="00DE1162" w:rsidRDefault="00484B9A">
      <w:pPr>
        <w:spacing w:line="360" w:lineRule="auto"/>
        <w:jc w:val="both"/>
        <w:rPr>
          <w:sz w:val="22"/>
          <w:szCs w:val="22"/>
          <w:lang w:val="en-GB"/>
        </w:rPr>
      </w:pPr>
      <w:r w:rsidRPr="00DE1162">
        <w:rPr>
          <w:sz w:val="22"/>
          <w:szCs w:val="22"/>
          <w:lang w:val="en-GB"/>
        </w:rPr>
        <w:t>BEREC</w:t>
      </w:r>
      <w:r w:rsidR="00DB57E9" w:rsidRPr="00DE1162">
        <w:rPr>
          <w:sz w:val="22"/>
          <w:szCs w:val="22"/>
          <w:lang w:val="en-GB"/>
        </w:rPr>
        <w:t>, t</w:t>
      </w:r>
      <w:r w:rsidR="00BA64AD" w:rsidRPr="00DE1162">
        <w:rPr>
          <w:sz w:val="22"/>
          <w:szCs w:val="22"/>
          <w:lang w:val="en-GB"/>
        </w:rPr>
        <w:t xml:space="preserve">he Body of </w:t>
      </w:r>
      <w:r w:rsidR="00DB57E9" w:rsidRPr="00DE1162">
        <w:rPr>
          <w:sz w:val="22"/>
          <w:szCs w:val="22"/>
          <w:lang w:val="en-GB"/>
        </w:rPr>
        <w:t>European Regulators for Electronic Communications,</w:t>
      </w:r>
      <w:r w:rsidRPr="00DE1162">
        <w:rPr>
          <w:sz w:val="22"/>
          <w:szCs w:val="22"/>
          <w:lang w:val="en-GB"/>
        </w:rPr>
        <w:t xml:space="preserve"> has consistently shown the absence of a </w:t>
      </w:r>
      <w:r w:rsidR="00735B78" w:rsidRPr="00DE1162">
        <w:rPr>
          <w:sz w:val="22"/>
          <w:szCs w:val="22"/>
          <w:lang w:val="en-GB"/>
        </w:rPr>
        <w:t>market failure</w:t>
      </w:r>
      <w:r w:rsidRPr="00DE1162">
        <w:rPr>
          <w:sz w:val="22"/>
          <w:szCs w:val="22"/>
          <w:lang w:val="en-GB"/>
        </w:rPr>
        <w:t xml:space="preserve"> that would require such regulatory intervention. According to BEREC</w:t>
      </w:r>
      <w:r w:rsidRPr="00DE1162">
        <w:rPr>
          <w:rStyle w:val="FootnoteReference"/>
          <w:sz w:val="22"/>
          <w:szCs w:val="22"/>
          <w:lang w:val="en-GB"/>
        </w:rPr>
        <w:footnoteReference w:id="9"/>
      </w:r>
      <w:r w:rsidRPr="00DE1162">
        <w:rPr>
          <w:sz w:val="22"/>
          <w:szCs w:val="22"/>
          <w:lang w:val="en-GB"/>
        </w:rPr>
        <w:t xml:space="preserve">, Europe’s interconnection market functions smoothly, with balanced bargaining power among transit providers, content delivery networks and internet access operators. There is no evidence of systematic congestion or abuse warranting regulatory intervention. Instead, the introduction of </w:t>
      </w:r>
      <w:r w:rsidR="000A58F5" w:rsidRPr="00DE1162">
        <w:rPr>
          <w:sz w:val="22"/>
          <w:szCs w:val="22"/>
          <w:lang w:val="en-GB"/>
        </w:rPr>
        <w:t xml:space="preserve">an arbitration </w:t>
      </w:r>
      <w:r w:rsidRPr="00DE1162">
        <w:rPr>
          <w:sz w:val="22"/>
          <w:szCs w:val="22"/>
          <w:lang w:val="en-GB"/>
        </w:rPr>
        <w:t>mechanism would allow large telecom operators to exploit termination monopolies to force payments from other actors, distorting competition at the expense of smaller operators</w:t>
      </w:r>
      <w:r w:rsidR="00CD4015" w:rsidRPr="00DE1162">
        <w:rPr>
          <w:sz w:val="22"/>
          <w:szCs w:val="22"/>
          <w:lang w:val="en-GB"/>
        </w:rPr>
        <w:t>, and undermine consumers rights to use the Internet freely, as </w:t>
      </w:r>
      <w:r w:rsidR="00CD4015" w:rsidRPr="00DE1162">
        <w:rPr>
          <w:sz w:val="22"/>
          <w:szCs w:val="22"/>
        </w:rPr>
        <w:t xml:space="preserve">guaranteed by EU net neutrality </w:t>
      </w:r>
      <w:r w:rsidR="00EF6C70" w:rsidRPr="00DE1162">
        <w:rPr>
          <w:sz w:val="22"/>
          <w:szCs w:val="22"/>
        </w:rPr>
        <w:t>rules</w:t>
      </w:r>
      <w:r w:rsidR="00A845CC" w:rsidRPr="00DE1162">
        <w:rPr>
          <w:rStyle w:val="FootnoteReference"/>
          <w:sz w:val="22"/>
          <w:szCs w:val="22"/>
        </w:rPr>
        <w:footnoteReference w:id="10"/>
      </w:r>
      <w:r w:rsidR="00CD4015" w:rsidRPr="00DE1162">
        <w:rPr>
          <w:sz w:val="22"/>
          <w:szCs w:val="22"/>
          <w:lang w:val="en-GB"/>
        </w:rPr>
        <w:t>.</w:t>
      </w:r>
    </w:p>
    <w:p w14:paraId="4E2FF081" w14:textId="1E247D12" w:rsidR="00287730" w:rsidRPr="00DE1162" w:rsidRDefault="00484B9A" w:rsidP="69E22C9B">
      <w:pPr>
        <w:spacing w:line="360" w:lineRule="auto"/>
        <w:jc w:val="both"/>
        <w:rPr>
          <w:sz w:val="22"/>
          <w:szCs w:val="22"/>
          <w:lang w:val="en-GB"/>
        </w:rPr>
      </w:pPr>
      <w:r w:rsidRPr="00DE1162">
        <w:rPr>
          <w:sz w:val="22"/>
          <w:szCs w:val="22"/>
          <w:lang w:val="en-GB"/>
        </w:rPr>
        <w:t xml:space="preserve">We consider that Europe leads by example of its fundamental values and principles by promoting an open and competitive </w:t>
      </w:r>
      <w:r w:rsidR="002953CA" w:rsidRPr="00DE1162">
        <w:rPr>
          <w:sz w:val="22"/>
          <w:szCs w:val="22"/>
        </w:rPr>
        <w:t>market</w:t>
      </w:r>
      <w:r w:rsidRPr="00DE1162">
        <w:rPr>
          <w:sz w:val="22"/>
          <w:szCs w:val="22"/>
        </w:rPr>
        <w:t xml:space="preserve">. We therefore call on EU policy makers to reject </w:t>
      </w:r>
      <w:r w:rsidR="00863A9F" w:rsidRPr="00DE1162">
        <w:rPr>
          <w:sz w:val="22"/>
          <w:szCs w:val="22"/>
        </w:rPr>
        <w:t xml:space="preserve">such </w:t>
      </w:r>
      <w:r w:rsidR="00484BA2" w:rsidRPr="00DE1162">
        <w:rPr>
          <w:sz w:val="22"/>
          <w:szCs w:val="22"/>
        </w:rPr>
        <w:t xml:space="preserve">a </w:t>
      </w:r>
      <w:r w:rsidRPr="00DE1162">
        <w:rPr>
          <w:sz w:val="22"/>
          <w:szCs w:val="22"/>
        </w:rPr>
        <w:t>regulatory intervention that could introduce direct or indirect payment obligations on CAPs, be it through a mandatory dispute resolution mechanism, mandated negotiations or any other mechanisms effectively introducing network usage fees</w:t>
      </w:r>
      <w:r w:rsidR="00F23E59" w:rsidRPr="00DE1162">
        <w:rPr>
          <w:sz w:val="22"/>
          <w:szCs w:val="22"/>
        </w:rPr>
        <w:t>.</w:t>
      </w:r>
      <w:r w:rsidRPr="00DE1162">
        <w:rPr>
          <w:sz w:val="22"/>
          <w:szCs w:val="22"/>
        </w:rPr>
        <w:t> </w:t>
      </w:r>
      <w:r w:rsidR="00F23E59" w:rsidRPr="00DE1162">
        <w:rPr>
          <w:sz w:val="22"/>
          <w:szCs w:val="22"/>
        </w:rPr>
        <w:t>Ther</w:t>
      </w:r>
      <w:r w:rsidR="00575842" w:rsidRPr="00DE1162">
        <w:rPr>
          <w:sz w:val="22"/>
          <w:szCs w:val="22"/>
        </w:rPr>
        <w:t>e</w:t>
      </w:r>
      <w:r w:rsidR="00F23E59" w:rsidRPr="00DE1162">
        <w:rPr>
          <w:sz w:val="22"/>
          <w:szCs w:val="22"/>
        </w:rPr>
        <w:t xml:space="preserve"> is no evidence of market failure or </w:t>
      </w:r>
      <w:r w:rsidR="008F04EA" w:rsidRPr="00DE1162">
        <w:rPr>
          <w:sz w:val="22"/>
          <w:szCs w:val="22"/>
        </w:rPr>
        <w:t xml:space="preserve">verified </w:t>
      </w:r>
      <w:r w:rsidR="00F23E59" w:rsidRPr="00DE1162">
        <w:rPr>
          <w:sz w:val="22"/>
          <w:szCs w:val="22"/>
        </w:rPr>
        <w:t>necessity to revive the telephony</w:t>
      </w:r>
      <w:r w:rsidR="00F23E59" w:rsidRPr="00DE1162">
        <w:rPr>
          <w:rFonts w:ascii="Cambria Math" w:hAnsi="Cambria Math" w:cs="Cambria Math"/>
          <w:sz w:val="22"/>
          <w:szCs w:val="22"/>
        </w:rPr>
        <w:t>‐</w:t>
      </w:r>
      <w:r w:rsidR="00F23E59" w:rsidRPr="00DE1162">
        <w:rPr>
          <w:sz w:val="22"/>
          <w:szCs w:val="22"/>
        </w:rPr>
        <w:t>era model of network</w:t>
      </w:r>
      <w:r w:rsidR="00F23E59" w:rsidRPr="00DE1162">
        <w:rPr>
          <w:rFonts w:ascii="Cambria Math" w:hAnsi="Cambria Math" w:cs="Cambria Math"/>
          <w:sz w:val="22"/>
          <w:szCs w:val="22"/>
        </w:rPr>
        <w:t>‐</w:t>
      </w:r>
      <w:r w:rsidR="00F23E59" w:rsidRPr="00DE1162">
        <w:rPr>
          <w:sz w:val="22"/>
          <w:szCs w:val="22"/>
        </w:rPr>
        <w:t xml:space="preserve">usage fees, allowing </w:t>
      </w:r>
      <w:r w:rsidR="008F04EA" w:rsidRPr="00DE1162">
        <w:rPr>
          <w:sz w:val="22"/>
          <w:szCs w:val="22"/>
        </w:rPr>
        <w:t xml:space="preserve">incumbent </w:t>
      </w:r>
      <w:r w:rsidR="00F23E59" w:rsidRPr="00DE1162">
        <w:rPr>
          <w:sz w:val="22"/>
          <w:szCs w:val="22"/>
        </w:rPr>
        <w:t>telecom operators to exploit their termination monopol</w:t>
      </w:r>
      <w:r w:rsidR="00815330" w:rsidRPr="00DE1162">
        <w:rPr>
          <w:sz w:val="22"/>
          <w:szCs w:val="22"/>
        </w:rPr>
        <w:t>ies</w:t>
      </w:r>
      <w:r w:rsidR="000D3CE7" w:rsidRPr="00DE1162">
        <w:rPr>
          <w:sz w:val="22"/>
          <w:szCs w:val="22"/>
        </w:rPr>
        <w:t xml:space="preserve">. </w:t>
      </w:r>
    </w:p>
    <w:p w14:paraId="57DFAF35" w14:textId="7C73C56F" w:rsidR="00297DB7" w:rsidRPr="00DE1162" w:rsidRDefault="002C59AA">
      <w:pPr>
        <w:spacing w:line="360" w:lineRule="auto"/>
        <w:jc w:val="both"/>
        <w:rPr>
          <w:sz w:val="22"/>
          <w:szCs w:val="22"/>
        </w:rPr>
      </w:pPr>
      <w:r w:rsidRPr="002C59AA">
        <w:rPr>
          <w:sz w:val="22"/>
          <w:szCs w:val="22"/>
        </w:rPr>
        <w:t xml:space="preserve">We recall that, in line with the European Commission’s </w:t>
      </w:r>
      <w:r w:rsidR="00287730" w:rsidRPr="00DE1162">
        <w:rPr>
          <w:sz w:val="22"/>
          <w:szCs w:val="22"/>
        </w:rPr>
        <w:t xml:space="preserve">Better Regulation Principles, any proposal must adhere to a transparent and inclusive process, be based on available evidence, including </w:t>
      </w:r>
      <w:r w:rsidR="00287730" w:rsidRPr="00DE1162">
        <w:rPr>
          <w:sz w:val="22"/>
          <w:szCs w:val="22"/>
        </w:rPr>
        <w:lastRenderedPageBreak/>
        <w:t xml:space="preserve">past public consultations and BEREC’s assessments, and provide a thorough analysis that demonstrates a </w:t>
      </w:r>
      <w:r w:rsidR="004A144A" w:rsidRPr="00DE1162">
        <w:rPr>
          <w:sz w:val="22"/>
          <w:szCs w:val="22"/>
        </w:rPr>
        <w:t>clear justification</w:t>
      </w:r>
      <w:r w:rsidR="00CC6D20" w:rsidRPr="00DE1162">
        <w:rPr>
          <w:sz w:val="22"/>
          <w:szCs w:val="22"/>
        </w:rPr>
        <w:t xml:space="preserve"> </w:t>
      </w:r>
      <w:r w:rsidR="00287730" w:rsidRPr="00DE1162">
        <w:rPr>
          <w:sz w:val="22"/>
          <w:szCs w:val="22"/>
        </w:rPr>
        <w:t>for regulatory intervention.</w:t>
      </w:r>
    </w:p>
    <w:sectPr w:rsidR="00297DB7" w:rsidRPr="00DE1162">
      <w:pgSz w:w="11906" w:h="16838"/>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AA723" w14:textId="77777777" w:rsidR="00CF2E5F" w:rsidRDefault="00CF2E5F">
      <w:pPr>
        <w:spacing w:after="0" w:line="240" w:lineRule="auto"/>
      </w:pPr>
      <w:r>
        <w:separator/>
      </w:r>
    </w:p>
  </w:endnote>
  <w:endnote w:type="continuationSeparator" w:id="0">
    <w:p w14:paraId="09648CB7" w14:textId="77777777" w:rsidR="00CF2E5F" w:rsidRDefault="00CF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AE5EC" w14:textId="77777777" w:rsidR="00CF2E5F" w:rsidRDefault="00CF2E5F">
      <w:pPr>
        <w:rPr>
          <w:sz w:val="12"/>
        </w:rPr>
      </w:pPr>
      <w:r>
        <w:separator/>
      </w:r>
    </w:p>
  </w:footnote>
  <w:footnote w:type="continuationSeparator" w:id="0">
    <w:p w14:paraId="70B1C440" w14:textId="77777777" w:rsidR="00CF2E5F" w:rsidRDefault="00CF2E5F">
      <w:pPr>
        <w:rPr>
          <w:sz w:val="12"/>
        </w:rPr>
      </w:pPr>
      <w:r>
        <w:continuationSeparator/>
      </w:r>
    </w:p>
  </w:footnote>
  <w:footnote w:id="1">
    <w:p w14:paraId="1F1907A2" w14:textId="6D79D9CF" w:rsidR="00254693" w:rsidRPr="00C35B50" w:rsidRDefault="00254693" w:rsidP="00C35B50">
      <w:pPr>
        <w:pStyle w:val="FootnoteText"/>
        <w:jc w:val="both"/>
        <w:rPr>
          <w:rFonts w:ascii="Aptos" w:hAnsi="Aptos"/>
          <w:sz w:val="18"/>
          <w:szCs w:val="18"/>
        </w:rPr>
      </w:pPr>
      <w:r w:rsidRPr="00C35B50">
        <w:rPr>
          <w:rStyle w:val="FootnoteCharacters"/>
          <w:rFonts w:ascii="Aptos" w:hAnsi="Aptos"/>
          <w:sz w:val="18"/>
          <w:szCs w:val="18"/>
        </w:rPr>
        <w:footnoteRef/>
      </w:r>
      <w:r w:rsidRPr="00C35B50">
        <w:rPr>
          <w:rFonts w:ascii="Aptos" w:hAnsi="Aptos"/>
          <w:sz w:val="18"/>
          <w:szCs w:val="18"/>
          <w:lang w:val="en-GB"/>
        </w:rPr>
        <w:t xml:space="preserve"> </w:t>
      </w:r>
      <w:r w:rsidR="009435D3">
        <w:rPr>
          <w:rFonts w:ascii="Aptos" w:hAnsi="Aptos"/>
          <w:sz w:val="18"/>
          <w:szCs w:val="18"/>
          <w:lang w:val="en-GB"/>
        </w:rPr>
        <w:t>Connect Europe</w:t>
      </w:r>
      <w:r w:rsidR="00C35B50" w:rsidRPr="00C35B50">
        <w:rPr>
          <w:rFonts w:ascii="Aptos" w:hAnsi="Aptos"/>
          <w:sz w:val="18"/>
          <w:szCs w:val="18"/>
          <w:lang w:val="en-GB"/>
        </w:rPr>
        <w:t xml:space="preserve">, Report by Axon, </w:t>
      </w:r>
      <w:hyperlink r:id="rId1" w:history="1">
        <w:r w:rsidR="00C35B50" w:rsidRPr="00C35B50">
          <w:rPr>
            <w:rStyle w:val="Hyperlink"/>
            <w:rFonts w:ascii="Aptos" w:eastAsia="Aptos" w:hAnsi="Aptos" w:cs="Arial"/>
            <w:i/>
            <w:sz w:val="18"/>
            <w:szCs w:val="18"/>
            <w:lang w:val="en-GB"/>
          </w:rPr>
          <w:t>Europe’s Internet Ecosystem: Socio-Economic Benefits of a Fairer Balance Between Tech Giants and Telecom Operators</w:t>
        </w:r>
      </w:hyperlink>
      <w:r w:rsidR="00C35B50" w:rsidRPr="00C35B50">
        <w:rPr>
          <w:rFonts w:ascii="Aptos" w:eastAsia="Aptos" w:hAnsi="Aptos" w:cs="Arial"/>
          <w:sz w:val="18"/>
          <w:szCs w:val="18"/>
          <w:lang w:val="en-GB"/>
        </w:rPr>
        <w:t>, May 2022, p. 44.</w:t>
      </w:r>
    </w:p>
  </w:footnote>
  <w:footnote w:id="2">
    <w:p w14:paraId="1CF78400" w14:textId="225A6D19" w:rsidR="00297DB7" w:rsidRPr="0097266A" w:rsidRDefault="00484B9A" w:rsidP="00C35B50">
      <w:pPr>
        <w:pStyle w:val="FootnoteText"/>
        <w:jc w:val="both"/>
        <w:rPr>
          <w:rFonts w:asciiTheme="minorBidi" w:hAnsiTheme="minorBidi"/>
          <w:sz w:val="16"/>
          <w:szCs w:val="16"/>
        </w:rPr>
      </w:pPr>
      <w:r w:rsidRPr="00C35B50">
        <w:rPr>
          <w:rStyle w:val="FootnoteCharacters"/>
          <w:rFonts w:ascii="Aptos" w:hAnsi="Aptos"/>
          <w:sz w:val="18"/>
          <w:szCs w:val="18"/>
        </w:rPr>
        <w:footnoteRef/>
      </w:r>
      <w:r w:rsidRPr="00C35B50">
        <w:rPr>
          <w:rFonts w:ascii="Aptos" w:hAnsi="Aptos"/>
          <w:sz w:val="18"/>
          <w:szCs w:val="18"/>
        </w:rPr>
        <w:t xml:space="preserve"> Please see: </w:t>
      </w:r>
      <w:r w:rsidRPr="00C35B50">
        <w:rPr>
          <w:rFonts w:ascii="Aptos" w:eastAsia="Aptos" w:hAnsi="Aptos" w:cs="Arial"/>
          <w:sz w:val="18"/>
          <w:szCs w:val="18"/>
          <w:lang w:val="en-GB"/>
        </w:rPr>
        <w:t xml:space="preserve">Telefónica, </w:t>
      </w:r>
      <w:hyperlink r:id="rId2" w:history="1">
        <w:r w:rsidRPr="000C4073">
          <w:rPr>
            <w:rStyle w:val="Hyperlink"/>
            <w:rFonts w:ascii="Aptos" w:eastAsia="Aptos" w:hAnsi="Aptos" w:cs="Arial"/>
            <w:i/>
            <w:sz w:val="18"/>
            <w:szCs w:val="18"/>
            <w:lang w:val="en-GB"/>
          </w:rPr>
          <w:t>Telefónica’s Contribution to the EU Commission’s Exploratory Consultation</w:t>
        </w:r>
      </w:hyperlink>
      <w:r w:rsidRPr="00C35B50">
        <w:rPr>
          <w:rFonts w:ascii="Aptos" w:eastAsia="Aptos" w:hAnsi="Aptos" w:cs="Arial"/>
          <w:sz w:val="18"/>
          <w:szCs w:val="18"/>
          <w:lang w:val="en-GB"/>
        </w:rPr>
        <w:t>,</w:t>
      </w:r>
      <w:r w:rsidR="005E7EFF">
        <w:rPr>
          <w:rFonts w:ascii="Aptos" w:eastAsia="Aptos" w:hAnsi="Aptos" w:cs="Arial"/>
          <w:sz w:val="18"/>
          <w:szCs w:val="18"/>
          <w:lang w:val="en-GB"/>
        </w:rPr>
        <w:t xml:space="preserve"> </w:t>
      </w:r>
      <w:r w:rsidRPr="00C35B50">
        <w:rPr>
          <w:rFonts w:ascii="Aptos" w:eastAsia="Aptos" w:hAnsi="Aptos" w:cs="Arial"/>
          <w:sz w:val="18"/>
          <w:szCs w:val="18"/>
          <w:lang w:val="en-GB"/>
        </w:rPr>
        <w:t>May 2023</w:t>
      </w:r>
      <w:r w:rsidRPr="00C35B50">
        <w:rPr>
          <w:rFonts w:ascii="Aptos" w:hAnsi="Aptos"/>
          <w:sz w:val="18"/>
          <w:szCs w:val="18"/>
        </w:rPr>
        <w:t xml:space="preserve">; </w:t>
      </w:r>
      <w:r w:rsidRPr="00C35B50">
        <w:rPr>
          <w:rFonts w:ascii="Aptos" w:eastAsia="Aptos" w:hAnsi="Aptos" w:cs="Arial"/>
          <w:sz w:val="18"/>
          <w:szCs w:val="18"/>
        </w:rPr>
        <w:t>Connect Europe</w:t>
      </w:r>
      <w:r w:rsidR="00C35B50" w:rsidRPr="00C35B50">
        <w:rPr>
          <w:rFonts w:ascii="Aptos" w:eastAsia="Aptos" w:hAnsi="Aptos" w:cs="Arial"/>
          <w:sz w:val="18"/>
          <w:szCs w:val="18"/>
        </w:rPr>
        <w:t xml:space="preserve">, </w:t>
      </w:r>
      <w:hyperlink r:id="rId3" w:history="1">
        <w:r w:rsidR="00C35B50" w:rsidRPr="00FF54DD">
          <w:rPr>
            <w:rStyle w:val="Hyperlink"/>
            <w:rFonts w:ascii="Aptos" w:eastAsia="Aptos" w:hAnsi="Aptos" w:cs="Arial"/>
            <w:i/>
            <w:sz w:val="18"/>
            <w:szCs w:val="18"/>
          </w:rPr>
          <w:t>Response to the Public Consultation on the European Commission's White Paper "How to Master Europe's Digital Infrastructure Needs?</w:t>
        </w:r>
        <w:r w:rsidR="00FF54DD" w:rsidRPr="00FF54DD">
          <w:rPr>
            <w:rStyle w:val="Hyperlink"/>
            <w:rFonts w:ascii="Aptos" w:eastAsia="Aptos" w:hAnsi="Aptos" w:cs="Arial"/>
            <w:i/>
            <w:sz w:val="18"/>
            <w:szCs w:val="18"/>
          </w:rPr>
          <w:t>”</w:t>
        </w:r>
      </w:hyperlink>
      <w:r w:rsidR="00C35B50" w:rsidRPr="00C35B50">
        <w:rPr>
          <w:rFonts w:ascii="Aptos" w:eastAsia="Aptos" w:hAnsi="Aptos" w:cs="Arial"/>
          <w:i/>
          <w:sz w:val="18"/>
          <w:szCs w:val="18"/>
        </w:rPr>
        <w:t xml:space="preserve">, </w:t>
      </w:r>
      <w:r w:rsidRPr="00C35B50">
        <w:rPr>
          <w:rFonts w:ascii="Aptos" w:eastAsia="Aptos" w:hAnsi="Aptos" w:cs="Arial"/>
          <w:sz w:val="18"/>
          <w:szCs w:val="18"/>
        </w:rPr>
        <w:t>June 2024</w:t>
      </w:r>
      <w:r w:rsidR="00C35B50" w:rsidRPr="00C35B50">
        <w:rPr>
          <w:rFonts w:ascii="Aptos" w:eastAsia="Aptos" w:hAnsi="Aptos" w:cs="Arial"/>
          <w:sz w:val="18"/>
          <w:szCs w:val="18"/>
        </w:rPr>
        <w:t>;</w:t>
      </w:r>
      <w:r w:rsidRPr="00C35B50">
        <w:rPr>
          <w:rFonts w:ascii="Aptos" w:eastAsia="Aptos" w:hAnsi="Aptos" w:cs="Arial"/>
          <w:sz w:val="18"/>
          <w:szCs w:val="18"/>
        </w:rPr>
        <w:t xml:space="preserve"> Deutsche Telekom, </w:t>
      </w:r>
      <w:hyperlink r:id="rId4" w:history="1">
        <w:r w:rsidR="00C35B50" w:rsidRPr="00C35B50">
          <w:rPr>
            <w:rStyle w:val="Hyperlink"/>
            <w:rFonts w:ascii="Aptos" w:eastAsia="Aptos" w:hAnsi="Aptos" w:cs="Arial"/>
            <w:i/>
            <w:sz w:val="18"/>
            <w:szCs w:val="18"/>
          </w:rPr>
          <w:t>Deutsche Telekom Position Regarding the European Commission White Paper on the Future of Digital Infrastructure</w:t>
        </w:r>
      </w:hyperlink>
      <w:r w:rsidR="00C35B50" w:rsidRPr="00C35B50">
        <w:rPr>
          <w:rFonts w:ascii="Aptos" w:eastAsia="Aptos" w:hAnsi="Aptos" w:cs="Arial"/>
          <w:i/>
          <w:sz w:val="18"/>
          <w:szCs w:val="18"/>
        </w:rPr>
        <w:t xml:space="preserve">, </w:t>
      </w:r>
      <w:r w:rsidR="00C35B50" w:rsidRPr="00C35B50">
        <w:rPr>
          <w:rFonts w:ascii="Aptos" w:eastAsia="Aptos" w:hAnsi="Aptos" w:cs="Arial"/>
          <w:sz w:val="18"/>
          <w:szCs w:val="18"/>
        </w:rPr>
        <w:t>June 2024.</w:t>
      </w:r>
    </w:p>
  </w:footnote>
  <w:footnote w:id="3">
    <w:p w14:paraId="662081EC" w14:textId="611B0E75" w:rsidR="00B82C03" w:rsidRPr="00A47F0B" w:rsidRDefault="00B82C03">
      <w:pPr>
        <w:pStyle w:val="FootnoteText"/>
        <w:rPr>
          <w:lang w:val="en-GB"/>
        </w:rPr>
      </w:pPr>
      <w:r>
        <w:rPr>
          <w:rStyle w:val="FootnoteReference"/>
        </w:rPr>
        <w:footnoteRef/>
      </w:r>
      <w:r w:rsidRPr="00DD1A72">
        <w:rPr>
          <w:lang w:val="en-GB"/>
        </w:rPr>
        <w:t xml:space="preserve"> </w:t>
      </w:r>
      <w:r w:rsidR="00C35B50" w:rsidRPr="00181EFB">
        <w:rPr>
          <w:sz w:val="18"/>
          <w:szCs w:val="18"/>
          <w:lang w:val="en-GB"/>
        </w:rPr>
        <w:t>BEUC position paper,</w:t>
      </w:r>
      <w:r w:rsidR="00C35B50" w:rsidRPr="00181EFB">
        <w:rPr>
          <w:sz w:val="18"/>
          <w:szCs w:val="18"/>
        </w:rPr>
        <w:t xml:space="preserve"> </w:t>
      </w:r>
      <w:hyperlink r:id="rId5" w:history="1">
        <w:r w:rsidR="00C35B50" w:rsidRPr="004C2743">
          <w:rPr>
            <w:rStyle w:val="Hyperlink"/>
            <w:sz w:val="18"/>
            <w:szCs w:val="18"/>
            <w:lang w:val="en-GB"/>
          </w:rPr>
          <w:t>Mind the (connectivity) gap: making digital infrastructure work for consumers</w:t>
        </w:r>
      </w:hyperlink>
      <w:r w:rsidR="00C35B50" w:rsidRPr="00181EFB">
        <w:rPr>
          <w:sz w:val="18"/>
          <w:szCs w:val="18"/>
          <w:lang w:val="en-GB"/>
        </w:rPr>
        <w:t xml:space="preserve">, </w:t>
      </w:r>
      <w:r w:rsidR="00C35B50">
        <w:rPr>
          <w:sz w:val="18"/>
          <w:szCs w:val="18"/>
          <w:lang w:val="en-GB"/>
        </w:rPr>
        <w:t xml:space="preserve">June </w:t>
      </w:r>
      <w:r w:rsidR="00C35B50" w:rsidRPr="00181EFB">
        <w:rPr>
          <w:sz w:val="18"/>
          <w:szCs w:val="18"/>
          <w:lang w:val="en-GB"/>
        </w:rPr>
        <w:t>2024</w:t>
      </w:r>
      <w:r w:rsidR="00C35B50">
        <w:rPr>
          <w:sz w:val="18"/>
          <w:szCs w:val="18"/>
          <w:lang w:val="en-GB"/>
        </w:rPr>
        <w:t>.</w:t>
      </w:r>
    </w:p>
  </w:footnote>
  <w:footnote w:id="4">
    <w:p w14:paraId="27869E58" w14:textId="272B9029" w:rsidR="00427DE9" w:rsidRPr="00283710" w:rsidRDefault="00427DE9">
      <w:pPr>
        <w:pStyle w:val="FootnoteText"/>
        <w:rPr>
          <w:sz w:val="18"/>
          <w:szCs w:val="18"/>
          <w:lang w:val="en-GB"/>
        </w:rPr>
      </w:pPr>
      <w:r w:rsidRPr="00283710">
        <w:rPr>
          <w:rStyle w:val="FootnoteReference"/>
          <w:sz w:val="18"/>
          <w:szCs w:val="18"/>
        </w:rPr>
        <w:footnoteRef/>
      </w:r>
      <w:r w:rsidRPr="00283710">
        <w:rPr>
          <w:sz w:val="18"/>
          <w:szCs w:val="18"/>
        </w:rPr>
        <w:t xml:space="preserve"> Internet Architecture Boar</w:t>
      </w:r>
      <w:r w:rsidR="00233470" w:rsidRPr="00283710">
        <w:rPr>
          <w:sz w:val="18"/>
          <w:szCs w:val="18"/>
        </w:rPr>
        <w:t>d</w:t>
      </w:r>
      <w:r w:rsidR="00A914F5">
        <w:rPr>
          <w:sz w:val="18"/>
          <w:szCs w:val="18"/>
        </w:rPr>
        <w:t xml:space="preserve"> (IAB)</w:t>
      </w:r>
      <w:hyperlink r:id="rId6" w:history="1">
        <w:r w:rsidR="00233470" w:rsidRPr="00283710">
          <w:rPr>
            <w:rStyle w:val="Hyperlink"/>
            <w:sz w:val="18"/>
            <w:szCs w:val="18"/>
          </w:rPr>
          <w:t xml:space="preserve">, </w:t>
        </w:r>
        <w:r w:rsidR="00233470" w:rsidRPr="00283710">
          <w:rPr>
            <w:rStyle w:val="Hyperlink"/>
            <w:i/>
            <w:iCs/>
            <w:sz w:val="18"/>
            <w:szCs w:val="18"/>
          </w:rPr>
          <w:t>Response to the European Commission’s exploratory consultation on “The future of the electronic communications sector and its infrastructure</w:t>
        </w:r>
        <w:r w:rsidR="00283710" w:rsidRPr="00283710">
          <w:rPr>
            <w:rStyle w:val="Hyperlink"/>
            <w:i/>
            <w:iCs/>
            <w:sz w:val="18"/>
            <w:szCs w:val="18"/>
          </w:rPr>
          <w:t>”</w:t>
        </w:r>
      </w:hyperlink>
      <w:r w:rsidR="00233470" w:rsidRPr="00283710">
        <w:rPr>
          <w:i/>
          <w:iCs/>
          <w:sz w:val="18"/>
          <w:szCs w:val="18"/>
        </w:rPr>
        <w:t xml:space="preserve">, </w:t>
      </w:r>
      <w:r w:rsidR="00233470" w:rsidRPr="00283710">
        <w:rPr>
          <w:sz w:val="18"/>
          <w:szCs w:val="18"/>
        </w:rPr>
        <w:t xml:space="preserve">June </w:t>
      </w:r>
      <w:r w:rsidR="00233470" w:rsidRPr="00283710">
        <w:rPr>
          <w:sz w:val="18"/>
          <w:szCs w:val="18"/>
          <w:lang w:val="en-GB"/>
        </w:rPr>
        <w:t>2023</w:t>
      </w:r>
      <w:r w:rsidR="00283710" w:rsidRPr="00283710">
        <w:rPr>
          <w:sz w:val="18"/>
          <w:szCs w:val="18"/>
          <w:lang w:val="en-GB"/>
        </w:rPr>
        <w:t xml:space="preserve">.  </w:t>
      </w:r>
    </w:p>
  </w:footnote>
  <w:footnote w:id="5">
    <w:p w14:paraId="34CD580E" w14:textId="1C69A6CF" w:rsidR="001C7F23" w:rsidRPr="00C2206E" w:rsidRDefault="008F04EA" w:rsidP="001C7F23">
      <w:pPr>
        <w:pStyle w:val="FootnoteText"/>
        <w:rPr>
          <w:i/>
          <w:iCs/>
          <w:sz w:val="18"/>
          <w:szCs w:val="18"/>
        </w:rPr>
      </w:pPr>
      <w:r w:rsidRPr="0097266A">
        <w:rPr>
          <w:rStyle w:val="FootnoteReference"/>
          <w:sz w:val="16"/>
          <w:szCs w:val="16"/>
        </w:rPr>
        <w:footnoteRef/>
      </w:r>
      <w:r w:rsidRPr="0097266A">
        <w:rPr>
          <w:sz w:val="16"/>
          <w:szCs w:val="16"/>
        </w:rPr>
        <w:t xml:space="preserve"> </w:t>
      </w:r>
      <w:r w:rsidR="00C2206E" w:rsidRPr="00181EFB">
        <w:rPr>
          <w:sz w:val="18"/>
          <w:szCs w:val="18"/>
        </w:rPr>
        <w:t xml:space="preserve">WIK, </w:t>
      </w:r>
      <w:hyperlink r:id="rId7" w:history="1">
        <w:r w:rsidR="00C2206E" w:rsidRPr="008D2B3A">
          <w:rPr>
            <w:rStyle w:val="Hyperlink"/>
            <w:i/>
            <w:iCs/>
            <w:sz w:val="18"/>
            <w:szCs w:val="18"/>
          </w:rPr>
          <w:t>Competitive conditions on transit and peering markets</w:t>
        </w:r>
      </w:hyperlink>
      <w:r w:rsidR="00C2206E" w:rsidRPr="00181EFB">
        <w:rPr>
          <w:i/>
          <w:iCs/>
          <w:sz w:val="18"/>
          <w:szCs w:val="18"/>
        </w:rPr>
        <w:t xml:space="preserve">, </w:t>
      </w:r>
      <w:r w:rsidR="00C2206E" w:rsidRPr="008D2B3A">
        <w:rPr>
          <w:sz w:val="18"/>
          <w:szCs w:val="18"/>
        </w:rPr>
        <w:t>February 2022.</w:t>
      </w:r>
    </w:p>
  </w:footnote>
  <w:footnote w:id="6">
    <w:p w14:paraId="3BDDDF8F" w14:textId="57BA4347" w:rsidR="00932EE2" w:rsidRPr="00C2206E" w:rsidRDefault="00C16045">
      <w:pPr>
        <w:pStyle w:val="FootnoteText"/>
        <w:rPr>
          <w:sz w:val="18"/>
          <w:szCs w:val="18"/>
        </w:rPr>
      </w:pPr>
      <w:r w:rsidRPr="0097266A">
        <w:rPr>
          <w:rStyle w:val="FootnoteReference"/>
          <w:sz w:val="16"/>
          <w:szCs w:val="16"/>
        </w:rPr>
        <w:footnoteRef/>
      </w:r>
      <w:r w:rsidR="00932EE2" w:rsidRPr="0097266A">
        <w:rPr>
          <w:rFonts w:asciiTheme="minorBidi" w:hAnsiTheme="minorBidi"/>
          <w:sz w:val="16"/>
          <w:szCs w:val="16"/>
          <w:lang w:val="en-GB"/>
        </w:rPr>
        <w:t xml:space="preserve"> </w:t>
      </w:r>
      <w:hyperlink r:id="rId8" w:history="1">
        <w:proofErr w:type="spellStart"/>
        <w:r w:rsidR="00C2206E" w:rsidRPr="004C2743">
          <w:rPr>
            <w:rStyle w:val="Hyperlink"/>
            <w:sz w:val="18"/>
            <w:szCs w:val="18"/>
            <w:lang w:val="en-GB"/>
          </w:rPr>
          <w:t>Beschwerden</w:t>
        </w:r>
        <w:proofErr w:type="spellEnd"/>
        <w:r w:rsidR="00C2206E" w:rsidRPr="004C2743">
          <w:rPr>
            <w:rStyle w:val="Hyperlink"/>
            <w:sz w:val="18"/>
            <w:szCs w:val="18"/>
            <w:lang w:val="en-GB"/>
          </w:rPr>
          <w:t xml:space="preserve"> </w:t>
        </w:r>
        <w:proofErr w:type="spellStart"/>
        <w:r w:rsidR="00C2206E" w:rsidRPr="004C2743">
          <w:rPr>
            <w:rStyle w:val="Hyperlink"/>
            <w:sz w:val="18"/>
            <w:szCs w:val="18"/>
            <w:lang w:val="en-GB"/>
          </w:rPr>
          <w:t>über</w:t>
        </w:r>
        <w:proofErr w:type="spellEnd"/>
        <w:r w:rsidR="00C2206E" w:rsidRPr="004C2743">
          <w:rPr>
            <w:rStyle w:val="Hyperlink"/>
            <w:sz w:val="18"/>
            <w:szCs w:val="18"/>
            <w:lang w:val="en-GB"/>
          </w:rPr>
          <w:t xml:space="preserve"> die Telekom </w:t>
        </w:r>
        <w:proofErr w:type="spellStart"/>
        <w:r w:rsidR="00C2206E" w:rsidRPr="004C2743">
          <w:rPr>
            <w:rStyle w:val="Hyperlink"/>
            <w:sz w:val="18"/>
            <w:szCs w:val="18"/>
            <w:lang w:val="en-GB"/>
          </w:rPr>
          <w:t>wegen</w:t>
        </w:r>
        <w:proofErr w:type="spellEnd"/>
        <w:r w:rsidR="00C2206E" w:rsidRPr="004C2743">
          <w:rPr>
            <w:rStyle w:val="Hyperlink"/>
            <w:sz w:val="18"/>
            <w:szCs w:val="18"/>
            <w:lang w:val="en-GB"/>
          </w:rPr>
          <w:t xml:space="preserve"> </w:t>
        </w:r>
        <w:proofErr w:type="spellStart"/>
        <w:r w:rsidR="00C2206E" w:rsidRPr="004C2743">
          <w:rPr>
            <w:rStyle w:val="Hyperlink"/>
            <w:sz w:val="18"/>
            <w:szCs w:val="18"/>
            <w:lang w:val="en-GB"/>
          </w:rPr>
          <w:t>langsamen</w:t>
        </w:r>
        <w:proofErr w:type="spellEnd"/>
        <w:r w:rsidR="00C2206E" w:rsidRPr="004C2743">
          <w:rPr>
            <w:rStyle w:val="Hyperlink"/>
            <w:sz w:val="18"/>
            <w:szCs w:val="18"/>
            <w:lang w:val="en-GB"/>
          </w:rPr>
          <w:t xml:space="preserve"> Internets</w:t>
        </w:r>
      </w:hyperlink>
      <w:r w:rsidR="00C2206E" w:rsidRPr="00181EFB">
        <w:rPr>
          <w:sz w:val="18"/>
          <w:szCs w:val="18"/>
          <w:lang w:val="en-GB"/>
        </w:rPr>
        <w:t>. tagesschau.de. </w:t>
      </w:r>
      <w:r w:rsidR="00C2206E" w:rsidRPr="00181EFB">
        <w:rPr>
          <w:sz w:val="18"/>
          <w:szCs w:val="18"/>
        </w:rPr>
        <w:t xml:space="preserve"> </w:t>
      </w:r>
    </w:p>
  </w:footnote>
  <w:footnote w:id="7">
    <w:p w14:paraId="39523610" w14:textId="6E7C626B" w:rsidR="00C2206E" w:rsidRPr="00C2206E" w:rsidRDefault="00484B9A" w:rsidP="00C2206E">
      <w:pPr>
        <w:pStyle w:val="FootnoteText"/>
        <w:rPr>
          <w:sz w:val="18"/>
          <w:szCs w:val="18"/>
          <w:lang w:val="en-GB"/>
        </w:rPr>
      </w:pPr>
      <w:r w:rsidRPr="0097266A">
        <w:rPr>
          <w:rStyle w:val="FootnoteCharacters"/>
          <w:sz w:val="16"/>
          <w:szCs w:val="16"/>
        </w:rPr>
        <w:footnoteRef/>
      </w:r>
      <w:r w:rsidRPr="0097266A">
        <w:rPr>
          <w:rFonts w:asciiTheme="minorBidi" w:hAnsiTheme="minorBidi"/>
          <w:sz w:val="16"/>
          <w:szCs w:val="16"/>
          <w:lang w:val="en-GB"/>
        </w:rPr>
        <w:t xml:space="preserve"> </w:t>
      </w:r>
      <w:r w:rsidR="00872290" w:rsidRPr="0097266A">
        <w:rPr>
          <w:rFonts w:asciiTheme="minorBidi" w:hAnsiTheme="minorBidi"/>
          <w:sz w:val="16"/>
          <w:szCs w:val="16"/>
        </w:rPr>
        <w:t>Please see:</w:t>
      </w:r>
      <w:r w:rsidR="00C2206E" w:rsidRPr="00181EFB">
        <w:rPr>
          <w:sz w:val="18"/>
          <w:szCs w:val="18"/>
        </w:rPr>
        <w:t xml:space="preserve"> </w:t>
      </w:r>
      <w:hyperlink r:id="rId9" w:history="1">
        <w:r w:rsidR="00C2206E" w:rsidRPr="004C2743">
          <w:rPr>
            <w:rStyle w:val="Hyperlink"/>
            <w:rFonts w:eastAsia="Aptos" w:cs="Arial"/>
            <w:sz w:val="18"/>
            <w:szCs w:val="18"/>
          </w:rPr>
          <w:t xml:space="preserve">European Commission, </w:t>
        </w:r>
        <w:r w:rsidR="00C2206E" w:rsidRPr="004C2743">
          <w:rPr>
            <w:rStyle w:val="Hyperlink"/>
            <w:rFonts w:eastAsia="Aptos" w:cs="Arial"/>
            <w:i/>
            <w:sz w:val="18"/>
            <w:szCs w:val="18"/>
          </w:rPr>
          <w:t>Results of the Exploratory Consultation on the Future of the Electronic Communications Sector and Its Infrastructure</w:t>
        </w:r>
      </w:hyperlink>
      <w:r w:rsidR="00C2206E" w:rsidRPr="00181EFB">
        <w:rPr>
          <w:rFonts w:eastAsia="Aptos" w:cs="Arial"/>
          <w:sz w:val="18"/>
          <w:szCs w:val="18"/>
        </w:rPr>
        <w:t>, October 2023</w:t>
      </w:r>
      <w:r w:rsidR="00C2206E">
        <w:rPr>
          <w:rFonts w:eastAsia="Aptos" w:cs="Arial"/>
          <w:sz w:val="18"/>
          <w:szCs w:val="18"/>
        </w:rPr>
        <w:t>;</w:t>
      </w:r>
      <w:r w:rsidR="00C2206E" w:rsidRPr="00181EFB">
        <w:rPr>
          <w:sz w:val="18"/>
          <w:szCs w:val="18"/>
        </w:rPr>
        <w:t xml:space="preserve"> </w:t>
      </w:r>
      <w:r w:rsidR="00C2206E">
        <w:rPr>
          <w:sz w:val="18"/>
          <w:szCs w:val="18"/>
        </w:rPr>
        <w:t>BEREC</w:t>
      </w:r>
      <w:r w:rsidR="00C2206E" w:rsidRPr="00181EFB">
        <w:rPr>
          <w:sz w:val="18"/>
          <w:szCs w:val="18"/>
        </w:rPr>
        <w:t xml:space="preserve">, </w:t>
      </w:r>
      <w:hyperlink r:id="rId10" w:history="1">
        <w:r w:rsidR="00C2206E" w:rsidRPr="004C2743">
          <w:rPr>
            <w:rStyle w:val="Hyperlink"/>
            <w:rFonts w:eastAsia="Aptos" w:cs="Arial"/>
            <w:i/>
            <w:iCs/>
            <w:sz w:val="18"/>
            <w:szCs w:val="18"/>
          </w:rPr>
          <w:t>Annex to Complement Section 4 of the BEREC Response to the European Commission’s Exploratory Consultation on the Future of the Electronic Communications Sector and Its Infrastructure</w:t>
        </w:r>
      </w:hyperlink>
      <w:r w:rsidR="00192B95">
        <w:rPr>
          <w:rFonts w:eastAsia="Aptos" w:cs="Arial"/>
          <w:sz w:val="18"/>
          <w:szCs w:val="18"/>
        </w:rPr>
        <w:t xml:space="preserve"> (</w:t>
      </w:r>
      <w:proofErr w:type="spellStart"/>
      <w:r w:rsidR="00C2206E" w:rsidRPr="00181EFB">
        <w:rPr>
          <w:rFonts w:eastAsia="Aptos" w:cs="Arial"/>
          <w:sz w:val="18"/>
          <w:szCs w:val="18"/>
        </w:rPr>
        <w:t>BoR</w:t>
      </w:r>
      <w:proofErr w:type="spellEnd"/>
      <w:r w:rsidR="00C2206E" w:rsidRPr="00181EFB">
        <w:rPr>
          <w:rFonts w:eastAsia="Aptos" w:cs="Arial"/>
          <w:sz w:val="18"/>
          <w:szCs w:val="18"/>
        </w:rPr>
        <w:t xml:space="preserve"> (23) 131d</w:t>
      </w:r>
      <w:r w:rsidR="00192B95">
        <w:rPr>
          <w:rFonts w:eastAsia="Aptos" w:cs="Arial"/>
          <w:sz w:val="18"/>
          <w:szCs w:val="18"/>
        </w:rPr>
        <w:t>)</w:t>
      </w:r>
      <w:r w:rsidR="00C2206E" w:rsidRPr="00181EFB">
        <w:rPr>
          <w:rFonts w:eastAsia="Aptos" w:cs="Arial"/>
          <w:sz w:val="18"/>
          <w:szCs w:val="18"/>
        </w:rPr>
        <w:t>, May 2023</w:t>
      </w:r>
      <w:r w:rsidR="00C2206E">
        <w:rPr>
          <w:rFonts w:eastAsia="Aptos" w:cs="Arial"/>
          <w:sz w:val="18"/>
          <w:szCs w:val="18"/>
        </w:rPr>
        <w:t xml:space="preserve">; </w:t>
      </w:r>
      <w:r w:rsidR="00C2206E" w:rsidRPr="00181EFB">
        <w:rPr>
          <w:sz w:val="18"/>
          <w:szCs w:val="18"/>
          <w:lang w:val="en-GB"/>
        </w:rPr>
        <w:t xml:space="preserve">Political Intelligence, </w:t>
      </w:r>
      <w:hyperlink r:id="rId11" w:history="1">
        <w:r w:rsidR="00C2206E" w:rsidRPr="006A7973">
          <w:rPr>
            <w:rStyle w:val="Hyperlink"/>
            <w:rFonts w:eastAsia="Aptos" w:cs="Arial"/>
            <w:i/>
            <w:sz w:val="18"/>
            <w:szCs w:val="18"/>
            <w:lang w:val="en-GB"/>
          </w:rPr>
          <w:t>Unlocking the Future of Connectivity: An In-Depth Analysis of the Public Consultation on the White Paper</w:t>
        </w:r>
      </w:hyperlink>
      <w:r w:rsidR="00C2206E">
        <w:rPr>
          <w:rFonts w:eastAsia="Aptos" w:cs="Arial"/>
          <w:i/>
          <w:sz w:val="18"/>
          <w:szCs w:val="18"/>
          <w:lang w:val="en-GB"/>
        </w:rPr>
        <w:t xml:space="preserve"> </w:t>
      </w:r>
      <w:r w:rsidR="00C2206E" w:rsidRPr="00181EFB">
        <w:rPr>
          <w:rFonts w:eastAsia="Aptos" w:cs="Arial"/>
          <w:i/>
          <w:sz w:val="18"/>
          <w:szCs w:val="18"/>
          <w:lang w:val="en-GB"/>
        </w:rPr>
        <w:t xml:space="preserve">, </w:t>
      </w:r>
      <w:r w:rsidR="006A7973">
        <w:rPr>
          <w:rFonts w:eastAsia="Aptos" w:cs="Arial"/>
          <w:sz w:val="18"/>
          <w:szCs w:val="18"/>
          <w:lang w:val="en-GB"/>
        </w:rPr>
        <w:t xml:space="preserve">October </w:t>
      </w:r>
      <w:r w:rsidR="00C2206E" w:rsidRPr="00181EFB">
        <w:rPr>
          <w:rFonts w:eastAsia="Aptos" w:cs="Arial"/>
          <w:sz w:val="18"/>
          <w:szCs w:val="18"/>
          <w:lang w:val="en-GB"/>
        </w:rPr>
        <w:t>2024</w:t>
      </w:r>
      <w:r w:rsidR="00C2206E" w:rsidRPr="00181EFB">
        <w:rPr>
          <w:sz w:val="18"/>
          <w:szCs w:val="18"/>
          <w:lang w:val="en-GB"/>
        </w:rPr>
        <w:t>.</w:t>
      </w:r>
    </w:p>
  </w:footnote>
  <w:footnote w:id="8">
    <w:p w14:paraId="7262DC9B" w14:textId="7F2DF4B9" w:rsidR="00872290" w:rsidRPr="0097266A" w:rsidRDefault="00872290">
      <w:pPr>
        <w:pStyle w:val="FootnoteText"/>
        <w:rPr>
          <w:sz w:val="16"/>
          <w:szCs w:val="16"/>
        </w:rPr>
      </w:pPr>
      <w:r w:rsidRPr="0097266A">
        <w:rPr>
          <w:rStyle w:val="FootnoteReference"/>
          <w:sz w:val="16"/>
          <w:szCs w:val="16"/>
        </w:rPr>
        <w:footnoteRef/>
      </w:r>
      <w:r w:rsidRPr="0097266A">
        <w:rPr>
          <w:sz w:val="16"/>
          <w:szCs w:val="16"/>
        </w:rPr>
        <w:t xml:space="preserve"> </w:t>
      </w:r>
      <w:proofErr w:type="spellStart"/>
      <w:r w:rsidR="00C2206E" w:rsidRPr="00181EFB">
        <w:rPr>
          <w:rFonts w:cs="Arial"/>
          <w:sz w:val="18"/>
          <w:szCs w:val="18"/>
        </w:rPr>
        <w:t>Monopolkommission</w:t>
      </w:r>
      <w:proofErr w:type="spellEnd"/>
      <w:r w:rsidR="00B1606B">
        <w:rPr>
          <w:rFonts w:cs="Arial"/>
          <w:sz w:val="18"/>
          <w:szCs w:val="18"/>
        </w:rPr>
        <w:t xml:space="preserve">, </w:t>
      </w:r>
      <w:r w:rsidR="00C2206E" w:rsidRPr="00181EFB">
        <w:rPr>
          <w:rFonts w:cs="Arial"/>
          <w:sz w:val="18"/>
          <w:szCs w:val="18"/>
        </w:rPr>
        <w:t xml:space="preserve"> </w:t>
      </w:r>
      <w:hyperlink r:id="rId12" w:history="1">
        <w:r w:rsidR="00C2206E" w:rsidRPr="00192B95">
          <w:rPr>
            <w:rStyle w:val="Hyperlink"/>
            <w:rFonts w:cs="Arial"/>
            <w:sz w:val="18"/>
            <w:szCs w:val="18"/>
          </w:rPr>
          <w:t>A contribution from data traffic-intensive over-the-top (OTT) providers to the costs of telecommunications network expansion should be rejected!</w:t>
        </w:r>
        <w:r w:rsidR="00192B95" w:rsidRPr="00192B95">
          <w:rPr>
            <w:rStyle w:val="Hyperlink"/>
            <w:rFonts w:cs="Arial"/>
            <w:sz w:val="18"/>
            <w:szCs w:val="18"/>
          </w:rPr>
          <w:t xml:space="preserve"> </w:t>
        </w:r>
      </w:hyperlink>
      <w:r w:rsidR="00192B95">
        <w:rPr>
          <w:rFonts w:cs="Arial"/>
          <w:sz w:val="18"/>
          <w:szCs w:val="18"/>
        </w:rPr>
        <w:t>,</w:t>
      </w:r>
      <w:r w:rsidR="00B1606B">
        <w:rPr>
          <w:rFonts w:cs="Arial"/>
          <w:sz w:val="18"/>
          <w:szCs w:val="18"/>
        </w:rPr>
        <w:t xml:space="preserve"> May 2023. </w:t>
      </w:r>
    </w:p>
  </w:footnote>
  <w:footnote w:id="9">
    <w:p w14:paraId="5D680E81" w14:textId="5AFA76E6" w:rsidR="00297DB7" w:rsidRPr="0097266A" w:rsidRDefault="00484B9A">
      <w:pPr>
        <w:pStyle w:val="FootnoteText"/>
        <w:rPr>
          <w:rFonts w:asciiTheme="minorBidi" w:hAnsiTheme="minorBidi"/>
          <w:sz w:val="16"/>
          <w:szCs w:val="16"/>
        </w:rPr>
      </w:pPr>
      <w:r w:rsidRPr="0097266A">
        <w:rPr>
          <w:rStyle w:val="FootnoteCharacters"/>
          <w:sz w:val="16"/>
          <w:szCs w:val="16"/>
        </w:rPr>
        <w:footnoteRef/>
      </w:r>
      <w:r w:rsidRPr="0097266A">
        <w:rPr>
          <w:rFonts w:asciiTheme="minorBidi" w:hAnsiTheme="minorBidi"/>
          <w:sz w:val="16"/>
          <w:szCs w:val="16"/>
        </w:rPr>
        <w:t xml:space="preserve"> </w:t>
      </w:r>
      <w:r w:rsidR="00C2206E">
        <w:rPr>
          <w:sz w:val="18"/>
          <w:szCs w:val="18"/>
          <w:lang w:val="en-GB"/>
        </w:rPr>
        <w:t>BEREC,</w:t>
      </w:r>
      <w:r w:rsidR="00C2206E" w:rsidRPr="00181EFB">
        <w:rPr>
          <w:sz w:val="18"/>
          <w:szCs w:val="18"/>
          <w:lang w:val="en-GB"/>
        </w:rPr>
        <w:t xml:space="preserve"> </w:t>
      </w:r>
      <w:hyperlink r:id="rId13" w:history="1">
        <w:r w:rsidR="00C2206E" w:rsidRPr="002614F3">
          <w:rPr>
            <w:rStyle w:val="Hyperlink"/>
            <w:i/>
            <w:sz w:val="18"/>
            <w:szCs w:val="18"/>
            <w:lang w:val="en-GB"/>
          </w:rPr>
          <w:t>BEREC Report on the IP-IC ecosystem</w:t>
        </w:r>
        <w:r w:rsidR="00C2206E" w:rsidRPr="002614F3">
          <w:rPr>
            <w:rStyle w:val="Hyperlink"/>
            <w:sz w:val="18"/>
            <w:szCs w:val="18"/>
            <w:lang w:val="en-GB"/>
          </w:rPr>
          <w:t> </w:t>
        </w:r>
      </w:hyperlink>
      <w:r w:rsidR="00C2206E" w:rsidRPr="00181EFB">
        <w:rPr>
          <w:sz w:val="18"/>
          <w:szCs w:val="18"/>
          <w:lang w:val="en-GB"/>
        </w:rPr>
        <w:t>(</w:t>
      </w:r>
      <w:proofErr w:type="spellStart"/>
      <w:r w:rsidR="00C2206E" w:rsidRPr="00181EFB">
        <w:rPr>
          <w:sz w:val="18"/>
          <w:szCs w:val="18"/>
          <w:lang w:val="en-GB"/>
        </w:rPr>
        <w:t>BoR</w:t>
      </w:r>
      <w:proofErr w:type="spellEnd"/>
      <w:r w:rsidR="00C2206E" w:rsidRPr="00181EFB">
        <w:rPr>
          <w:sz w:val="18"/>
          <w:szCs w:val="18"/>
          <w:lang w:val="en-GB"/>
        </w:rPr>
        <w:t> (24) 177), January 2025. </w:t>
      </w:r>
      <w:r w:rsidRPr="0097266A">
        <w:rPr>
          <w:rFonts w:asciiTheme="minorBidi" w:hAnsiTheme="minorBidi"/>
          <w:sz w:val="16"/>
          <w:szCs w:val="16"/>
        </w:rPr>
        <w:t> </w:t>
      </w:r>
    </w:p>
  </w:footnote>
  <w:footnote w:id="10">
    <w:p w14:paraId="3DC2F4B5" w14:textId="45F384C0" w:rsidR="00C2206E" w:rsidRPr="00B64591" w:rsidRDefault="00A845CC" w:rsidP="00C2206E">
      <w:pPr>
        <w:pStyle w:val="FootnoteText"/>
        <w:rPr>
          <w:sz w:val="18"/>
          <w:szCs w:val="18"/>
        </w:rPr>
      </w:pPr>
      <w:r w:rsidRPr="0097266A">
        <w:rPr>
          <w:rStyle w:val="FootnoteReference"/>
          <w:sz w:val="16"/>
          <w:szCs w:val="16"/>
        </w:rPr>
        <w:footnoteRef/>
      </w:r>
      <w:r w:rsidRPr="0097266A">
        <w:rPr>
          <w:sz w:val="16"/>
          <w:szCs w:val="16"/>
        </w:rPr>
        <w:t xml:space="preserve"> </w:t>
      </w:r>
      <w:proofErr w:type="spellStart"/>
      <w:r w:rsidR="00C2206E" w:rsidRPr="00B64591">
        <w:rPr>
          <w:sz w:val="18"/>
          <w:szCs w:val="18"/>
        </w:rPr>
        <w:t>Epicenter.works</w:t>
      </w:r>
      <w:proofErr w:type="spellEnd"/>
      <w:r w:rsidR="00C2206E" w:rsidRPr="00B64591">
        <w:rPr>
          <w:sz w:val="18"/>
          <w:szCs w:val="18"/>
        </w:rPr>
        <w:t>, Federation of German Consumer Organizations (vzbv)</w:t>
      </w:r>
      <w:r w:rsidR="008B2CE1">
        <w:rPr>
          <w:sz w:val="18"/>
          <w:szCs w:val="18"/>
        </w:rPr>
        <w:t xml:space="preserve"> </w:t>
      </w:r>
      <w:r w:rsidR="00C2206E" w:rsidRPr="00B64591">
        <w:rPr>
          <w:sz w:val="18"/>
          <w:szCs w:val="18"/>
        </w:rPr>
        <w:t>and Stanford Professor Barbara van Schewick</w:t>
      </w:r>
      <w:r w:rsidR="008B2CE1">
        <w:rPr>
          <w:sz w:val="18"/>
          <w:szCs w:val="18"/>
        </w:rPr>
        <w:t>, O</w:t>
      </w:r>
      <w:r w:rsidR="00C2206E" w:rsidRPr="00B64591">
        <w:rPr>
          <w:sz w:val="18"/>
          <w:szCs w:val="18"/>
        </w:rPr>
        <w:t>fficial complaint with the German Federal Network Agency against Deutsche Telekom for unfair business practices</w:t>
      </w:r>
      <w:r w:rsidR="008B2CE1">
        <w:rPr>
          <w:sz w:val="18"/>
          <w:szCs w:val="18"/>
        </w:rPr>
        <w:t>:</w:t>
      </w:r>
      <w:r w:rsidR="00C2206E" w:rsidRPr="00B64591">
        <w:rPr>
          <w:sz w:val="18"/>
          <w:szCs w:val="18"/>
        </w:rPr>
        <w:t xml:space="preserve"> </w:t>
      </w:r>
      <w:hyperlink r:id="rId14" w:history="1">
        <w:proofErr w:type="spellStart"/>
        <w:r w:rsidR="00C2206E" w:rsidRPr="00B64591">
          <w:rPr>
            <w:rStyle w:val="Hyperlink"/>
            <w:rFonts w:cs="Arial"/>
            <w:sz w:val="18"/>
            <w:szCs w:val="18"/>
          </w:rPr>
          <w:t>Netzbremse</w:t>
        </w:r>
        <w:proofErr w:type="spellEnd"/>
        <w:r w:rsidR="00C2206E" w:rsidRPr="00B64591">
          <w:rPr>
            <w:rStyle w:val="Hyperlink"/>
            <w:rFonts w:cs="Arial"/>
            <w:sz w:val="18"/>
            <w:szCs w:val="18"/>
          </w:rPr>
          <w:t xml:space="preserve"> - Deutsche Telekom is throttling the internet!</w:t>
        </w:r>
      </w:hyperlink>
      <w:r w:rsidR="00192B95" w:rsidRPr="00B64591">
        <w:rPr>
          <w:sz w:val="18"/>
          <w:szCs w:val="18"/>
        </w:rPr>
        <w:t xml:space="preserve">, </w:t>
      </w:r>
      <w:r w:rsidR="00B64591" w:rsidRPr="00B64591">
        <w:rPr>
          <w:sz w:val="18"/>
          <w:szCs w:val="18"/>
        </w:rPr>
        <w:t xml:space="preserve">February 2025. </w:t>
      </w:r>
    </w:p>
    <w:p w14:paraId="1D4B4B9F" w14:textId="7B329041" w:rsidR="005177BB" w:rsidRPr="0097266A" w:rsidRDefault="005177BB" w:rsidP="005177BB">
      <w:pPr>
        <w:pStyle w:val="FootnoteText"/>
        <w:rPr>
          <w:sz w:val="16"/>
          <w:szCs w:val="16"/>
        </w:rPr>
      </w:pPr>
    </w:p>
    <w:p w14:paraId="0F0A32B6" w14:textId="6CA0DE70" w:rsidR="00A845CC" w:rsidRPr="0097266A" w:rsidRDefault="00A845CC">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36975"/>
    <w:multiLevelType w:val="multilevel"/>
    <w:tmpl w:val="15A243B8"/>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41D4F99"/>
    <w:multiLevelType w:val="multilevel"/>
    <w:tmpl w:val="AE5455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36276856">
    <w:abstractNumId w:val="0"/>
  </w:num>
  <w:num w:numId="2" w16cid:durableId="359362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B7"/>
    <w:rsid w:val="00005A49"/>
    <w:rsid w:val="000134EA"/>
    <w:rsid w:val="00051307"/>
    <w:rsid w:val="00056208"/>
    <w:rsid w:val="0006037F"/>
    <w:rsid w:val="00070CD9"/>
    <w:rsid w:val="00071E03"/>
    <w:rsid w:val="000A07BC"/>
    <w:rsid w:val="000A58F5"/>
    <w:rsid w:val="000B6D60"/>
    <w:rsid w:val="000C13C6"/>
    <w:rsid w:val="000C4073"/>
    <w:rsid w:val="000C5316"/>
    <w:rsid w:val="000C66F0"/>
    <w:rsid w:val="000D3CE7"/>
    <w:rsid w:val="000D7ED6"/>
    <w:rsid w:val="000F1EC6"/>
    <w:rsid w:val="00134D28"/>
    <w:rsid w:val="001360B6"/>
    <w:rsid w:val="00141EAD"/>
    <w:rsid w:val="001444E7"/>
    <w:rsid w:val="00163B36"/>
    <w:rsid w:val="00191331"/>
    <w:rsid w:val="00192B95"/>
    <w:rsid w:val="001B29EC"/>
    <w:rsid w:val="001C4430"/>
    <w:rsid w:val="001C7F23"/>
    <w:rsid w:val="001D7E04"/>
    <w:rsid w:val="00200F96"/>
    <w:rsid w:val="002150E7"/>
    <w:rsid w:val="002326E2"/>
    <w:rsid w:val="00233470"/>
    <w:rsid w:val="00254693"/>
    <w:rsid w:val="00255AD8"/>
    <w:rsid w:val="00283710"/>
    <w:rsid w:val="00287730"/>
    <w:rsid w:val="002953CA"/>
    <w:rsid w:val="00297876"/>
    <w:rsid w:val="00297DB7"/>
    <w:rsid w:val="002C59AA"/>
    <w:rsid w:val="002C6A30"/>
    <w:rsid w:val="002E292D"/>
    <w:rsid w:val="002E4B5C"/>
    <w:rsid w:val="002F5921"/>
    <w:rsid w:val="00333F0F"/>
    <w:rsid w:val="00341319"/>
    <w:rsid w:val="00341BF4"/>
    <w:rsid w:val="0034315F"/>
    <w:rsid w:val="00371715"/>
    <w:rsid w:val="00372053"/>
    <w:rsid w:val="003736FD"/>
    <w:rsid w:val="003739C6"/>
    <w:rsid w:val="0038169C"/>
    <w:rsid w:val="00392357"/>
    <w:rsid w:val="003A456E"/>
    <w:rsid w:val="003A4CD7"/>
    <w:rsid w:val="003B51DD"/>
    <w:rsid w:val="003C544A"/>
    <w:rsid w:val="00401306"/>
    <w:rsid w:val="00401488"/>
    <w:rsid w:val="00405F0D"/>
    <w:rsid w:val="00421F3B"/>
    <w:rsid w:val="00427DE9"/>
    <w:rsid w:val="00463837"/>
    <w:rsid w:val="00466ACE"/>
    <w:rsid w:val="00471277"/>
    <w:rsid w:val="00474791"/>
    <w:rsid w:val="004759CA"/>
    <w:rsid w:val="00484A3A"/>
    <w:rsid w:val="00484B9A"/>
    <w:rsid w:val="00484BA2"/>
    <w:rsid w:val="004865DA"/>
    <w:rsid w:val="004934A6"/>
    <w:rsid w:val="004A144A"/>
    <w:rsid w:val="004A69EF"/>
    <w:rsid w:val="004B650A"/>
    <w:rsid w:val="00504BA4"/>
    <w:rsid w:val="00505AE7"/>
    <w:rsid w:val="00506C4D"/>
    <w:rsid w:val="00507F3E"/>
    <w:rsid w:val="00513547"/>
    <w:rsid w:val="005177BB"/>
    <w:rsid w:val="00521641"/>
    <w:rsid w:val="00522140"/>
    <w:rsid w:val="00531043"/>
    <w:rsid w:val="00531C8A"/>
    <w:rsid w:val="00537DC0"/>
    <w:rsid w:val="00544DDC"/>
    <w:rsid w:val="00554A40"/>
    <w:rsid w:val="00562B4C"/>
    <w:rsid w:val="005718D8"/>
    <w:rsid w:val="00572A9D"/>
    <w:rsid w:val="00575842"/>
    <w:rsid w:val="005904D4"/>
    <w:rsid w:val="00595D47"/>
    <w:rsid w:val="005A1791"/>
    <w:rsid w:val="005B7520"/>
    <w:rsid w:val="005B7FA5"/>
    <w:rsid w:val="005D3D13"/>
    <w:rsid w:val="005D703A"/>
    <w:rsid w:val="005E0BA0"/>
    <w:rsid w:val="005E7EFF"/>
    <w:rsid w:val="005F0DD0"/>
    <w:rsid w:val="005F225E"/>
    <w:rsid w:val="006130DF"/>
    <w:rsid w:val="00626422"/>
    <w:rsid w:val="00630185"/>
    <w:rsid w:val="00635E71"/>
    <w:rsid w:val="006435A3"/>
    <w:rsid w:val="00654660"/>
    <w:rsid w:val="00660DC7"/>
    <w:rsid w:val="00666A1A"/>
    <w:rsid w:val="006866B2"/>
    <w:rsid w:val="00686E70"/>
    <w:rsid w:val="00687AC4"/>
    <w:rsid w:val="00687D2C"/>
    <w:rsid w:val="00692900"/>
    <w:rsid w:val="006A7973"/>
    <w:rsid w:val="006B750B"/>
    <w:rsid w:val="006C59A7"/>
    <w:rsid w:val="006C73B5"/>
    <w:rsid w:val="006E0A5B"/>
    <w:rsid w:val="006E676E"/>
    <w:rsid w:val="006F1EC2"/>
    <w:rsid w:val="006F5FCD"/>
    <w:rsid w:val="007115FD"/>
    <w:rsid w:val="00714F7B"/>
    <w:rsid w:val="0071693B"/>
    <w:rsid w:val="007230CD"/>
    <w:rsid w:val="0072602F"/>
    <w:rsid w:val="00734B82"/>
    <w:rsid w:val="0073507B"/>
    <w:rsid w:val="00735B78"/>
    <w:rsid w:val="00756461"/>
    <w:rsid w:val="00762E51"/>
    <w:rsid w:val="0077062D"/>
    <w:rsid w:val="00780DC2"/>
    <w:rsid w:val="007851AE"/>
    <w:rsid w:val="00786490"/>
    <w:rsid w:val="00790D75"/>
    <w:rsid w:val="00793EE0"/>
    <w:rsid w:val="007B3275"/>
    <w:rsid w:val="007C1714"/>
    <w:rsid w:val="007C2BA9"/>
    <w:rsid w:val="007C4F20"/>
    <w:rsid w:val="007D4BBB"/>
    <w:rsid w:val="007E6601"/>
    <w:rsid w:val="007F507F"/>
    <w:rsid w:val="007F50AB"/>
    <w:rsid w:val="007F59AE"/>
    <w:rsid w:val="00815330"/>
    <w:rsid w:val="008206A4"/>
    <w:rsid w:val="00837CA5"/>
    <w:rsid w:val="008405DB"/>
    <w:rsid w:val="0084161C"/>
    <w:rsid w:val="00853151"/>
    <w:rsid w:val="00863A9F"/>
    <w:rsid w:val="008662E5"/>
    <w:rsid w:val="00871910"/>
    <w:rsid w:val="00872290"/>
    <w:rsid w:val="00872929"/>
    <w:rsid w:val="00891E7B"/>
    <w:rsid w:val="00893EF6"/>
    <w:rsid w:val="008B0184"/>
    <w:rsid w:val="008B2CE1"/>
    <w:rsid w:val="008B3337"/>
    <w:rsid w:val="008B6AE7"/>
    <w:rsid w:val="008D79D7"/>
    <w:rsid w:val="008F04EA"/>
    <w:rsid w:val="008F54AC"/>
    <w:rsid w:val="00905A9F"/>
    <w:rsid w:val="009178D3"/>
    <w:rsid w:val="00930E71"/>
    <w:rsid w:val="00932EE2"/>
    <w:rsid w:val="009435D3"/>
    <w:rsid w:val="00945199"/>
    <w:rsid w:val="00970417"/>
    <w:rsid w:val="009710B3"/>
    <w:rsid w:val="00971E7B"/>
    <w:rsid w:val="0097266A"/>
    <w:rsid w:val="009877BE"/>
    <w:rsid w:val="00992D2E"/>
    <w:rsid w:val="0099573B"/>
    <w:rsid w:val="00996EAB"/>
    <w:rsid w:val="009A280A"/>
    <w:rsid w:val="009A3B20"/>
    <w:rsid w:val="009B5C50"/>
    <w:rsid w:val="009C236D"/>
    <w:rsid w:val="009C640D"/>
    <w:rsid w:val="009D2547"/>
    <w:rsid w:val="009D29DB"/>
    <w:rsid w:val="009D6947"/>
    <w:rsid w:val="009E1831"/>
    <w:rsid w:val="00A05A49"/>
    <w:rsid w:val="00A11D0A"/>
    <w:rsid w:val="00A12DB6"/>
    <w:rsid w:val="00A42B83"/>
    <w:rsid w:val="00A4301D"/>
    <w:rsid w:val="00A47F0B"/>
    <w:rsid w:val="00A50A86"/>
    <w:rsid w:val="00A6427E"/>
    <w:rsid w:val="00A650CF"/>
    <w:rsid w:val="00A845CC"/>
    <w:rsid w:val="00A914F5"/>
    <w:rsid w:val="00A9406D"/>
    <w:rsid w:val="00A95B47"/>
    <w:rsid w:val="00A967B6"/>
    <w:rsid w:val="00AA0F3C"/>
    <w:rsid w:val="00AA3770"/>
    <w:rsid w:val="00AB014A"/>
    <w:rsid w:val="00AC1AEB"/>
    <w:rsid w:val="00AC3713"/>
    <w:rsid w:val="00AF2DED"/>
    <w:rsid w:val="00AF3A65"/>
    <w:rsid w:val="00B0104B"/>
    <w:rsid w:val="00B01D2F"/>
    <w:rsid w:val="00B1606B"/>
    <w:rsid w:val="00B17F67"/>
    <w:rsid w:val="00B21452"/>
    <w:rsid w:val="00B2159E"/>
    <w:rsid w:val="00B332BA"/>
    <w:rsid w:val="00B33742"/>
    <w:rsid w:val="00B43ADB"/>
    <w:rsid w:val="00B45C57"/>
    <w:rsid w:val="00B60607"/>
    <w:rsid w:val="00B62901"/>
    <w:rsid w:val="00B64591"/>
    <w:rsid w:val="00B64A60"/>
    <w:rsid w:val="00B67616"/>
    <w:rsid w:val="00B7141C"/>
    <w:rsid w:val="00B81CF2"/>
    <w:rsid w:val="00B82C03"/>
    <w:rsid w:val="00BA64AD"/>
    <w:rsid w:val="00BB016C"/>
    <w:rsid w:val="00BC0DA9"/>
    <w:rsid w:val="00BC2848"/>
    <w:rsid w:val="00BC59AF"/>
    <w:rsid w:val="00BD08C1"/>
    <w:rsid w:val="00BE6D16"/>
    <w:rsid w:val="00BF2AF5"/>
    <w:rsid w:val="00C16045"/>
    <w:rsid w:val="00C2206E"/>
    <w:rsid w:val="00C324B3"/>
    <w:rsid w:val="00C33855"/>
    <w:rsid w:val="00C35308"/>
    <w:rsid w:val="00C35B50"/>
    <w:rsid w:val="00C7307A"/>
    <w:rsid w:val="00CA0420"/>
    <w:rsid w:val="00CA0A58"/>
    <w:rsid w:val="00CA57F2"/>
    <w:rsid w:val="00CB4C85"/>
    <w:rsid w:val="00CB56FE"/>
    <w:rsid w:val="00CC0400"/>
    <w:rsid w:val="00CC6D20"/>
    <w:rsid w:val="00CD4015"/>
    <w:rsid w:val="00CE470F"/>
    <w:rsid w:val="00CF0840"/>
    <w:rsid w:val="00CF2E5F"/>
    <w:rsid w:val="00D02962"/>
    <w:rsid w:val="00D062A5"/>
    <w:rsid w:val="00D20AAC"/>
    <w:rsid w:val="00D309AC"/>
    <w:rsid w:val="00D32C0A"/>
    <w:rsid w:val="00D53186"/>
    <w:rsid w:val="00D532BD"/>
    <w:rsid w:val="00D5645C"/>
    <w:rsid w:val="00D611DB"/>
    <w:rsid w:val="00D74AB8"/>
    <w:rsid w:val="00D7733B"/>
    <w:rsid w:val="00D868B1"/>
    <w:rsid w:val="00D94713"/>
    <w:rsid w:val="00D97AD0"/>
    <w:rsid w:val="00DA3838"/>
    <w:rsid w:val="00DA40BF"/>
    <w:rsid w:val="00DB57E9"/>
    <w:rsid w:val="00DC36ED"/>
    <w:rsid w:val="00DC7F72"/>
    <w:rsid w:val="00DD1A72"/>
    <w:rsid w:val="00DD45D2"/>
    <w:rsid w:val="00DD6F11"/>
    <w:rsid w:val="00DE1162"/>
    <w:rsid w:val="00DF0478"/>
    <w:rsid w:val="00E02071"/>
    <w:rsid w:val="00E10DC1"/>
    <w:rsid w:val="00E10EA2"/>
    <w:rsid w:val="00E23978"/>
    <w:rsid w:val="00E322A2"/>
    <w:rsid w:val="00E540AC"/>
    <w:rsid w:val="00E558C7"/>
    <w:rsid w:val="00E62BF5"/>
    <w:rsid w:val="00E638D4"/>
    <w:rsid w:val="00E65D55"/>
    <w:rsid w:val="00E6699D"/>
    <w:rsid w:val="00E67E49"/>
    <w:rsid w:val="00E75025"/>
    <w:rsid w:val="00E861B1"/>
    <w:rsid w:val="00EB2061"/>
    <w:rsid w:val="00EB286C"/>
    <w:rsid w:val="00EB2E6A"/>
    <w:rsid w:val="00EC3F67"/>
    <w:rsid w:val="00EC59C0"/>
    <w:rsid w:val="00ED300A"/>
    <w:rsid w:val="00ED536F"/>
    <w:rsid w:val="00EE1A50"/>
    <w:rsid w:val="00EF6C70"/>
    <w:rsid w:val="00F05ECE"/>
    <w:rsid w:val="00F23E59"/>
    <w:rsid w:val="00F3510D"/>
    <w:rsid w:val="00F36596"/>
    <w:rsid w:val="00F37803"/>
    <w:rsid w:val="00F57E6E"/>
    <w:rsid w:val="00F661FB"/>
    <w:rsid w:val="00F90E4F"/>
    <w:rsid w:val="00FA367F"/>
    <w:rsid w:val="00FA7859"/>
    <w:rsid w:val="00FC20CE"/>
    <w:rsid w:val="00FF207E"/>
    <w:rsid w:val="00FF54DD"/>
    <w:rsid w:val="00FF6288"/>
    <w:rsid w:val="0582EF1F"/>
    <w:rsid w:val="0C8E4B5E"/>
    <w:rsid w:val="0DDE2AAA"/>
    <w:rsid w:val="1E8FF9F9"/>
    <w:rsid w:val="2CB09F27"/>
    <w:rsid w:val="341B48F3"/>
    <w:rsid w:val="69E22C9B"/>
    <w:rsid w:val="6D555D0F"/>
    <w:rsid w:val="71D843C4"/>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F5279"/>
  <w15:docId w15:val="{41AE6558-E77E-433A-8489-3975F624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rsid w:val="000E7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E7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0E7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0E7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0E7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0E7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0E7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0E7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0E7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0E7D40"/>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0E7D40"/>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0E7D40"/>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0E7D40"/>
    <w:rPr>
      <w:i/>
      <w:iCs/>
      <w:color w:val="404040" w:themeColor="text1" w:themeTint="BF"/>
    </w:rPr>
  </w:style>
  <w:style w:type="character" w:styleId="IntenseEmphasis">
    <w:name w:val="Intense Emphasis"/>
    <w:basedOn w:val="DefaultParagraphFont"/>
    <w:uiPriority w:val="21"/>
    <w:qFormat/>
    <w:rsid w:val="000E7D40"/>
    <w:rPr>
      <w:i/>
      <w:iCs/>
      <w:color w:val="0F4761" w:themeColor="accent1" w:themeShade="BF"/>
    </w:rPr>
  </w:style>
  <w:style w:type="character" w:customStyle="1" w:styleId="IntenseQuoteChar">
    <w:name w:val="Intense Quote Char"/>
    <w:basedOn w:val="DefaultParagraphFont"/>
    <w:link w:val="IntenseQuote"/>
    <w:uiPriority w:val="30"/>
    <w:qFormat/>
    <w:rsid w:val="000E7D40"/>
    <w:rPr>
      <w:i/>
      <w:iCs/>
      <w:color w:val="0F4761" w:themeColor="accent1" w:themeShade="BF"/>
    </w:rPr>
  </w:style>
  <w:style w:type="character" w:styleId="IntenseReference">
    <w:name w:val="Intense Reference"/>
    <w:basedOn w:val="DefaultParagraphFont"/>
    <w:uiPriority w:val="32"/>
    <w:qFormat/>
    <w:rsid w:val="000E7D40"/>
    <w:rPr>
      <w:b/>
      <w:bCs/>
      <w:smallCaps/>
      <w:color w:val="0F4761" w:themeColor="accent1" w:themeShade="BF"/>
      <w:spacing w:val="5"/>
    </w:rPr>
  </w:style>
  <w:style w:type="character" w:customStyle="1" w:styleId="HeaderChar">
    <w:name w:val="Header Char"/>
    <w:basedOn w:val="DefaultParagraphFont"/>
    <w:link w:val="Header"/>
    <w:uiPriority w:val="99"/>
    <w:qFormat/>
    <w:rsid w:val="000E7D40"/>
  </w:style>
  <w:style w:type="character" w:customStyle="1" w:styleId="FooterChar">
    <w:name w:val="Footer Char"/>
    <w:basedOn w:val="DefaultParagraphFont"/>
    <w:link w:val="Footer"/>
    <w:uiPriority w:val="99"/>
    <w:qFormat/>
    <w:rsid w:val="000E7D40"/>
  </w:style>
  <w:style w:type="character" w:customStyle="1" w:styleId="FootnoteTextChar">
    <w:name w:val="Footnote Text Char"/>
    <w:basedOn w:val="DefaultParagraphFont"/>
    <w:link w:val="FootnoteText"/>
    <w:uiPriority w:val="99"/>
    <w:qFormat/>
    <w:rsid w:val="000E7D40"/>
    <w:rPr>
      <w:sz w:val="20"/>
      <w:szCs w:val="20"/>
    </w:rPr>
  </w:style>
  <w:style w:type="character" w:customStyle="1" w:styleId="FootnoteCharacters">
    <w:name w:val="Footnote Characters"/>
    <w:basedOn w:val="DefaultParagraphFont"/>
    <w:uiPriority w:val="99"/>
    <w:semiHidden/>
    <w:unhideWhenUsed/>
    <w:qFormat/>
    <w:rsid w:val="000E7D40"/>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0E7D40"/>
    <w:rPr>
      <w:color w:val="467886" w:themeColor="hyperlink"/>
      <w:u w:val="single"/>
    </w:rPr>
  </w:style>
  <w:style w:type="character" w:styleId="UnresolvedMention">
    <w:name w:val="Unresolved Mention"/>
    <w:basedOn w:val="DefaultParagraphFont"/>
    <w:uiPriority w:val="99"/>
    <w:semiHidden/>
    <w:unhideWhenUsed/>
    <w:qFormat/>
    <w:rsid w:val="000E7D40"/>
    <w:rPr>
      <w:color w:val="605E5C"/>
      <w:shd w:val="clear" w:color="auto" w:fill="E1DFDD"/>
    </w:rPr>
  </w:style>
  <w:style w:type="character" w:customStyle="1" w:styleId="normaltextrun">
    <w:name w:val="normaltextrun"/>
    <w:basedOn w:val="DefaultParagraphFont"/>
    <w:qFormat/>
    <w:rsid w:val="00CA75D4"/>
  </w:style>
  <w:style w:type="character" w:customStyle="1" w:styleId="eop">
    <w:name w:val="eop"/>
    <w:basedOn w:val="DefaultParagraphFont"/>
    <w:qFormat/>
    <w:rsid w:val="00CA75D4"/>
  </w:style>
  <w:style w:type="character" w:styleId="LineNumber">
    <w:name w:val="line numbe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Title">
    <w:name w:val="Title"/>
    <w:basedOn w:val="Normal"/>
    <w:next w:val="Normal"/>
    <w:link w:val="TitleChar"/>
    <w:uiPriority w:val="10"/>
    <w:qFormat/>
    <w:rsid w:val="000E7D40"/>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0E7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D40"/>
    <w:pPr>
      <w:spacing w:before="160"/>
      <w:jc w:val="center"/>
    </w:pPr>
    <w:rPr>
      <w:i/>
      <w:iCs/>
      <w:color w:val="404040" w:themeColor="text1" w:themeTint="BF"/>
    </w:rPr>
  </w:style>
  <w:style w:type="paragraph" w:styleId="ListParagraph">
    <w:name w:val="List Paragraph"/>
    <w:basedOn w:val="Normal"/>
    <w:uiPriority w:val="34"/>
    <w:qFormat/>
    <w:rsid w:val="000E7D40"/>
    <w:pPr>
      <w:ind w:left="720"/>
      <w:contextualSpacing/>
    </w:pPr>
  </w:style>
  <w:style w:type="paragraph" w:styleId="IntenseQuote">
    <w:name w:val="Intense Quote"/>
    <w:basedOn w:val="Normal"/>
    <w:next w:val="Normal"/>
    <w:link w:val="IntenseQuoteChar"/>
    <w:uiPriority w:val="30"/>
    <w:qFormat/>
    <w:rsid w:val="000E7D40"/>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E7D40"/>
    <w:pPr>
      <w:tabs>
        <w:tab w:val="center" w:pos="4513"/>
        <w:tab w:val="right" w:pos="9026"/>
      </w:tabs>
      <w:spacing w:after="0" w:line="240" w:lineRule="auto"/>
    </w:pPr>
  </w:style>
  <w:style w:type="paragraph" w:styleId="Footer">
    <w:name w:val="footer"/>
    <w:basedOn w:val="Normal"/>
    <w:link w:val="FooterChar"/>
    <w:uiPriority w:val="99"/>
    <w:unhideWhenUsed/>
    <w:rsid w:val="000E7D40"/>
    <w:pPr>
      <w:tabs>
        <w:tab w:val="center" w:pos="4513"/>
        <w:tab w:val="right" w:pos="9026"/>
      </w:tabs>
      <w:spacing w:after="0" w:line="240" w:lineRule="auto"/>
    </w:pPr>
  </w:style>
  <w:style w:type="paragraph" w:styleId="FootnoteText">
    <w:name w:val="footnote text"/>
    <w:basedOn w:val="Normal"/>
    <w:link w:val="FootnoteTextChar"/>
    <w:uiPriority w:val="99"/>
    <w:unhideWhenUsed/>
    <w:rsid w:val="000E7D40"/>
    <w:pPr>
      <w:spacing w:after="0" w:line="240" w:lineRule="auto"/>
    </w:pPr>
    <w:rPr>
      <w:sz w:val="20"/>
      <w:szCs w:val="20"/>
    </w:rPr>
  </w:style>
  <w:style w:type="paragraph" w:customStyle="1" w:styleId="paragraph">
    <w:name w:val="paragraph"/>
    <w:basedOn w:val="Normal"/>
    <w:qFormat/>
    <w:rsid w:val="00CA75D4"/>
    <w:pPr>
      <w:spacing w:beforeAutospacing="1" w:afterAutospacing="1" w:line="240" w:lineRule="auto"/>
    </w:pPr>
    <w:rPr>
      <w:rFonts w:ascii="Times New Roman" w:eastAsia="Times New Roman" w:hAnsi="Times New Roman" w:cs="Times New Roman"/>
      <w:kern w:val="0"/>
      <w14:ligatures w14:val="none"/>
    </w:rPr>
  </w:style>
  <w:style w:type="paragraph" w:styleId="Revision">
    <w:name w:val="Revision"/>
    <w:uiPriority w:val="99"/>
    <w:semiHidden/>
    <w:qFormat/>
    <w:rsid w:val="001A4BF6"/>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81CF2"/>
    <w:rPr>
      <w:b/>
      <w:bCs/>
    </w:rPr>
  </w:style>
  <w:style w:type="character" w:customStyle="1" w:styleId="CommentSubjectChar">
    <w:name w:val="Comment Subject Char"/>
    <w:basedOn w:val="CommentTextChar"/>
    <w:link w:val="CommentSubject"/>
    <w:uiPriority w:val="99"/>
    <w:semiHidden/>
    <w:rsid w:val="00B81CF2"/>
    <w:rPr>
      <w:b/>
      <w:bCs/>
      <w:sz w:val="20"/>
      <w:szCs w:val="20"/>
    </w:rPr>
  </w:style>
  <w:style w:type="character" w:styleId="FollowedHyperlink">
    <w:name w:val="FollowedHyperlink"/>
    <w:basedOn w:val="DefaultParagraphFont"/>
    <w:uiPriority w:val="99"/>
    <w:semiHidden/>
    <w:unhideWhenUsed/>
    <w:rsid w:val="00DA40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16372">
      <w:bodyDiv w:val="1"/>
      <w:marLeft w:val="0"/>
      <w:marRight w:val="0"/>
      <w:marTop w:val="0"/>
      <w:marBottom w:val="0"/>
      <w:divBdr>
        <w:top w:val="none" w:sz="0" w:space="0" w:color="auto"/>
        <w:left w:val="none" w:sz="0" w:space="0" w:color="auto"/>
        <w:bottom w:val="none" w:sz="0" w:space="0" w:color="auto"/>
        <w:right w:val="none" w:sz="0" w:space="0" w:color="auto"/>
      </w:divBdr>
    </w:div>
    <w:div w:id="370764482">
      <w:bodyDiv w:val="1"/>
      <w:marLeft w:val="0"/>
      <w:marRight w:val="0"/>
      <w:marTop w:val="0"/>
      <w:marBottom w:val="0"/>
      <w:divBdr>
        <w:top w:val="none" w:sz="0" w:space="0" w:color="auto"/>
        <w:left w:val="none" w:sz="0" w:space="0" w:color="auto"/>
        <w:bottom w:val="none" w:sz="0" w:space="0" w:color="auto"/>
        <w:right w:val="none" w:sz="0" w:space="0" w:color="auto"/>
      </w:divBdr>
    </w:div>
    <w:div w:id="409815347">
      <w:bodyDiv w:val="1"/>
      <w:marLeft w:val="0"/>
      <w:marRight w:val="0"/>
      <w:marTop w:val="0"/>
      <w:marBottom w:val="0"/>
      <w:divBdr>
        <w:top w:val="none" w:sz="0" w:space="0" w:color="auto"/>
        <w:left w:val="none" w:sz="0" w:space="0" w:color="auto"/>
        <w:bottom w:val="none" w:sz="0" w:space="0" w:color="auto"/>
        <w:right w:val="none" w:sz="0" w:space="0" w:color="auto"/>
      </w:divBdr>
    </w:div>
    <w:div w:id="566107974">
      <w:bodyDiv w:val="1"/>
      <w:marLeft w:val="0"/>
      <w:marRight w:val="0"/>
      <w:marTop w:val="0"/>
      <w:marBottom w:val="0"/>
      <w:divBdr>
        <w:top w:val="none" w:sz="0" w:space="0" w:color="auto"/>
        <w:left w:val="none" w:sz="0" w:space="0" w:color="auto"/>
        <w:bottom w:val="none" w:sz="0" w:space="0" w:color="auto"/>
        <w:right w:val="none" w:sz="0" w:space="0" w:color="auto"/>
      </w:divBdr>
      <w:divsChild>
        <w:div w:id="1006202992">
          <w:marLeft w:val="0"/>
          <w:marRight w:val="0"/>
          <w:marTop w:val="0"/>
          <w:marBottom w:val="0"/>
          <w:divBdr>
            <w:top w:val="none" w:sz="0" w:space="0" w:color="auto"/>
            <w:left w:val="none" w:sz="0" w:space="0" w:color="auto"/>
            <w:bottom w:val="none" w:sz="0" w:space="0" w:color="auto"/>
            <w:right w:val="none" w:sz="0" w:space="0" w:color="auto"/>
          </w:divBdr>
          <w:divsChild>
            <w:div w:id="692345116">
              <w:marLeft w:val="0"/>
              <w:marRight w:val="0"/>
              <w:marTop w:val="0"/>
              <w:marBottom w:val="0"/>
              <w:divBdr>
                <w:top w:val="none" w:sz="0" w:space="0" w:color="auto"/>
                <w:left w:val="none" w:sz="0" w:space="0" w:color="auto"/>
                <w:bottom w:val="none" w:sz="0" w:space="0" w:color="auto"/>
                <w:right w:val="none" w:sz="0" w:space="0" w:color="auto"/>
              </w:divBdr>
              <w:divsChild>
                <w:div w:id="256331145">
                  <w:marLeft w:val="0"/>
                  <w:marRight w:val="0"/>
                  <w:marTop w:val="0"/>
                  <w:marBottom w:val="0"/>
                  <w:divBdr>
                    <w:top w:val="none" w:sz="0" w:space="0" w:color="auto"/>
                    <w:left w:val="none" w:sz="0" w:space="0" w:color="auto"/>
                    <w:bottom w:val="none" w:sz="0" w:space="0" w:color="auto"/>
                    <w:right w:val="none" w:sz="0" w:space="0" w:color="auto"/>
                  </w:divBdr>
                  <w:divsChild>
                    <w:div w:id="1962960046">
                      <w:marLeft w:val="0"/>
                      <w:marRight w:val="0"/>
                      <w:marTop w:val="0"/>
                      <w:marBottom w:val="0"/>
                      <w:divBdr>
                        <w:top w:val="none" w:sz="0" w:space="0" w:color="auto"/>
                        <w:left w:val="none" w:sz="0" w:space="0" w:color="auto"/>
                        <w:bottom w:val="none" w:sz="0" w:space="0" w:color="auto"/>
                        <w:right w:val="none" w:sz="0" w:space="0" w:color="auto"/>
                      </w:divBdr>
                      <w:divsChild>
                        <w:div w:id="1535652747">
                          <w:marLeft w:val="0"/>
                          <w:marRight w:val="0"/>
                          <w:marTop w:val="0"/>
                          <w:marBottom w:val="0"/>
                          <w:divBdr>
                            <w:top w:val="none" w:sz="0" w:space="0" w:color="auto"/>
                            <w:left w:val="none" w:sz="0" w:space="0" w:color="auto"/>
                            <w:bottom w:val="none" w:sz="0" w:space="0" w:color="auto"/>
                            <w:right w:val="none" w:sz="0" w:space="0" w:color="auto"/>
                          </w:divBdr>
                          <w:divsChild>
                            <w:div w:id="2033258399">
                              <w:marLeft w:val="0"/>
                              <w:marRight w:val="0"/>
                              <w:marTop w:val="0"/>
                              <w:marBottom w:val="0"/>
                              <w:divBdr>
                                <w:top w:val="none" w:sz="0" w:space="0" w:color="auto"/>
                                <w:left w:val="none" w:sz="0" w:space="0" w:color="auto"/>
                                <w:bottom w:val="none" w:sz="0" w:space="0" w:color="auto"/>
                                <w:right w:val="none" w:sz="0" w:space="0" w:color="auto"/>
                              </w:divBdr>
                              <w:divsChild>
                                <w:div w:id="27067726">
                                  <w:marLeft w:val="0"/>
                                  <w:marRight w:val="0"/>
                                  <w:marTop w:val="0"/>
                                  <w:marBottom w:val="0"/>
                                  <w:divBdr>
                                    <w:top w:val="none" w:sz="0" w:space="0" w:color="auto"/>
                                    <w:left w:val="none" w:sz="0" w:space="0" w:color="auto"/>
                                    <w:bottom w:val="none" w:sz="0" w:space="0" w:color="auto"/>
                                    <w:right w:val="none" w:sz="0" w:space="0" w:color="auto"/>
                                  </w:divBdr>
                                  <w:divsChild>
                                    <w:div w:id="14230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174179">
      <w:bodyDiv w:val="1"/>
      <w:marLeft w:val="0"/>
      <w:marRight w:val="0"/>
      <w:marTop w:val="0"/>
      <w:marBottom w:val="0"/>
      <w:divBdr>
        <w:top w:val="none" w:sz="0" w:space="0" w:color="auto"/>
        <w:left w:val="none" w:sz="0" w:space="0" w:color="auto"/>
        <w:bottom w:val="none" w:sz="0" w:space="0" w:color="auto"/>
        <w:right w:val="none" w:sz="0" w:space="0" w:color="auto"/>
      </w:divBdr>
    </w:div>
    <w:div w:id="766924502">
      <w:bodyDiv w:val="1"/>
      <w:marLeft w:val="0"/>
      <w:marRight w:val="0"/>
      <w:marTop w:val="0"/>
      <w:marBottom w:val="0"/>
      <w:divBdr>
        <w:top w:val="none" w:sz="0" w:space="0" w:color="auto"/>
        <w:left w:val="none" w:sz="0" w:space="0" w:color="auto"/>
        <w:bottom w:val="none" w:sz="0" w:space="0" w:color="auto"/>
        <w:right w:val="none" w:sz="0" w:space="0" w:color="auto"/>
      </w:divBdr>
    </w:div>
    <w:div w:id="771971814">
      <w:bodyDiv w:val="1"/>
      <w:marLeft w:val="0"/>
      <w:marRight w:val="0"/>
      <w:marTop w:val="0"/>
      <w:marBottom w:val="0"/>
      <w:divBdr>
        <w:top w:val="none" w:sz="0" w:space="0" w:color="auto"/>
        <w:left w:val="none" w:sz="0" w:space="0" w:color="auto"/>
        <w:bottom w:val="none" w:sz="0" w:space="0" w:color="auto"/>
        <w:right w:val="none" w:sz="0" w:space="0" w:color="auto"/>
      </w:divBdr>
    </w:div>
    <w:div w:id="798576565">
      <w:bodyDiv w:val="1"/>
      <w:marLeft w:val="0"/>
      <w:marRight w:val="0"/>
      <w:marTop w:val="0"/>
      <w:marBottom w:val="0"/>
      <w:divBdr>
        <w:top w:val="none" w:sz="0" w:space="0" w:color="auto"/>
        <w:left w:val="none" w:sz="0" w:space="0" w:color="auto"/>
        <w:bottom w:val="none" w:sz="0" w:space="0" w:color="auto"/>
        <w:right w:val="none" w:sz="0" w:space="0" w:color="auto"/>
      </w:divBdr>
    </w:div>
    <w:div w:id="812412634">
      <w:bodyDiv w:val="1"/>
      <w:marLeft w:val="0"/>
      <w:marRight w:val="0"/>
      <w:marTop w:val="0"/>
      <w:marBottom w:val="0"/>
      <w:divBdr>
        <w:top w:val="none" w:sz="0" w:space="0" w:color="auto"/>
        <w:left w:val="none" w:sz="0" w:space="0" w:color="auto"/>
        <w:bottom w:val="none" w:sz="0" w:space="0" w:color="auto"/>
        <w:right w:val="none" w:sz="0" w:space="0" w:color="auto"/>
      </w:divBdr>
    </w:div>
    <w:div w:id="1281835310">
      <w:bodyDiv w:val="1"/>
      <w:marLeft w:val="0"/>
      <w:marRight w:val="0"/>
      <w:marTop w:val="0"/>
      <w:marBottom w:val="0"/>
      <w:divBdr>
        <w:top w:val="none" w:sz="0" w:space="0" w:color="auto"/>
        <w:left w:val="none" w:sz="0" w:space="0" w:color="auto"/>
        <w:bottom w:val="none" w:sz="0" w:space="0" w:color="auto"/>
        <w:right w:val="none" w:sz="0" w:space="0" w:color="auto"/>
      </w:divBdr>
    </w:div>
    <w:div w:id="1344740220">
      <w:bodyDiv w:val="1"/>
      <w:marLeft w:val="0"/>
      <w:marRight w:val="0"/>
      <w:marTop w:val="0"/>
      <w:marBottom w:val="0"/>
      <w:divBdr>
        <w:top w:val="none" w:sz="0" w:space="0" w:color="auto"/>
        <w:left w:val="none" w:sz="0" w:space="0" w:color="auto"/>
        <w:bottom w:val="none" w:sz="0" w:space="0" w:color="auto"/>
        <w:right w:val="none" w:sz="0" w:space="0" w:color="auto"/>
      </w:divBdr>
    </w:div>
    <w:div w:id="1366250917">
      <w:bodyDiv w:val="1"/>
      <w:marLeft w:val="0"/>
      <w:marRight w:val="0"/>
      <w:marTop w:val="0"/>
      <w:marBottom w:val="0"/>
      <w:divBdr>
        <w:top w:val="none" w:sz="0" w:space="0" w:color="auto"/>
        <w:left w:val="none" w:sz="0" w:space="0" w:color="auto"/>
        <w:bottom w:val="none" w:sz="0" w:space="0" w:color="auto"/>
        <w:right w:val="none" w:sz="0" w:space="0" w:color="auto"/>
      </w:divBdr>
    </w:div>
    <w:div w:id="1393653925">
      <w:bodyDiv w:val="1"/>
      <w:marLeft w:val="0"/>
      <w:marRight w:val="0"/>
      <w:marTop w:val="0"/>
      <w:marBottom w:val="0"/>
      <w:divBdr>
        <w:top w:val="none" w:sz="0" w:space="0" w:color="auto"/>
        <w:left w:val="none" w:sz="0" w:space="0" w:color="auto"/>
        <w:bottom w:val="none" w:sz="0" w:space="0" w:color="auto"/>
        <w:right w:val="none" w:sz="0" w:space="0" w:color="auto"/>
      </w:divBdr>
    </w:div>
    <w:div w:id="1436555434">
      <w:bodyDiv w:val="1"/>
      <w:marLeft w:val="0"/>
      <w:marRight w:val="0"/>
      <w:marTop w:val="0"/>
      <w:marBottom w:val="0"/>
      <w:divBdr>
        <w:top w:val="none" w:sz="0" w:space="0" w:color="auto"/>
        <w:left w:val="none" w:sz="0" w:space="0" w:color="auto"/>
        <w:bottom w:val="none" w:sz="0" w:space="0" w:color="auto"/>
        <w:right w:val="none" w:sz="0" w:space="0" w:color="auto"/>
      </w:divBdr>
      <w:divsChild>
        <w:div w:id="1736319347">
          <w:marLeft w:val="0"/>
          <w:marRight w:val="0"/>
          <w:marTop w:val="0"/>
          <w:marBottom w:val="0"/>
          <w:divBdr>
            <w:top w:val="none" w:sz="0" w:space="0" w:color="auto"/>
            <w:left w:val="none" w:sz="0" w:space="0" w:color="auto"/>
            <w:bottom w:val="none" w:sz="0" w:space="0" w:color="auto"/>
            <w:right w:val="none" w:sz="0" w:space="0" w:color="auto"/>
          </w:divBdr>
          <w:divsChild>
            <w:div w:id="680816767">
              <w:marLeft w:val="0"/>
              <w:marRight w:val="0"/>
              <w:marTop w:val="0"/>
              <w:marBottom w:val="0"/>
              <w:divBdr>
                <w:top w:val="none" w:sz="0" w:space="0" w:color="auto"/>
                <w:left w:val="none" w:sz="0" w:space="0" w:color="auto"/>
                <w:bottom w:val="none" w:sz="0" w:space="0" w:color="auto"/>
                <w:right w:val="none" w:sz="0" w:space="0" w:color="auto"/>
              </w:divBdr>
              <w:divsChild>
                <w:div w:id="369502662">
                  <w:marLeft w:val="0"/>
                  <w:marRight w:val="0"/>
                  <w:marTop w:val="0"/>
                  <w:marBottom w:val="0"/>
                  <w:divBdr>
                    <w:top w:val="none" w:sz="0" w:space="0" w:color="auto"/>
                    <w:left w:val="none" w:sz="0" w:space="0" w:color="auto"/>
                    <w:bottom w:val="none" w:sz="0" w:space="0" w:color="auto"/>
                    <w:right w:val="none" w:sz="0" w:space="0" w:color="auto"/>
                  </w:divBdr>
                  <w:divsChild>
                    <w:div w:id="1657613352">
                      <w:marLeft w:val="0"/>
                      <w:marRight w:val="0"/>
                      <w:marTop w:val="0"/>
                      <w:marBottom w:val="0"/>
                      <w:divBdr>
                        <w:top w:val="none" w:sz="0" w:space="0" w:color="auto"/>
                        <w:left w:val="none" w:sz="0" w:space="0" w:color="auto"/>
                        <w:bottom w:val="none" w:sz="0" w:space="0" w:color="auto"/>
                        <w:right w:val="none" w:sz="0" w:space="0" w:color="auto"/>
                      </w:divBdr>
                      <w:divsChild>
                        <w:div w:id="413671599">
                          <w:marLeft w:val="0"/>
                          <w:marRight w:val="0"/>
                          <w:marTop w:val="0"/>
                          <w:marBottom w:val="0"/>
                          <w:divBdr>
                            <w:top w:val="none" w:sz="0" w:space="0" w:color="auto"/>
                            <w:left w:val="none" w:sz="0" w:space="0" w:color="auto"/>
                            <w:bottom w:val="none" w:sz="0" w:space="0" w:color="auto"/>
                            <w:right w:val="none" w:sz="0" w:space="0" w:color="auto"/>
                          </w:divBdr>
                          <w:divsChild>
                            <w:div w:id="2054227896">
                              <w:marLeft w:val="0"/>
                              <w:marRight w:val="0"/>
                              <w:marTop w:val="0"/>
                              <w:marBottom w:val="0"/>
                              <w:divBdr>
                                <w:top w:val="none" w:sz="0" w:space="0" w:color="auto"/>
                                <w:left w:val="none" w:sz="0" w:space="0" w:color="auto"/>
                                <w:bottom w:val="none" w:sz="0" w:space="0" w:color="auto"/>
                                <w:right w:val="none" w:sz="0" w:space="0" w:color="auto"/>
                              </w:divBdr>
                              <w:divsChild>
                                <w:div w:id="1312447287">
                                  <w:marLeft w:val="0"/>
                                  <w:marRight w:val="0"/>
                                  <w:marTop w:val="0"/>
                                  <w:marBottom w:val="0"/>
                                  <w:divBdr>
                                    <w:top w:val="none" w:sz="0" w:space="0" w:color="auto"/>
                                    <w:left w:val="none" w:sz="0" w:space="0" w:color="auto"/>
                                    <w:bottom w:val="none" w:sz="0" w:space="0" w:color="auto"/>
                                    <w:right w:val="none" w:sz="0" w:space="0" w:color="auto"/>
                                  </w:divBdr>
                                  <w:divsChild>
                                    <w:div w:id="409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997944">
      <w:bodyDiv w:val="1"/>
      <w:marLeft w:val="0"/>
      <w:marRight w:val="0"/>
      <w:marTop w:val="0"/>
      <w:marBottom w:val="0"/>
      <w:divBdr>
        <w:top w:val="none" w:sz="0" w:space="0" w:color="auto"/>
        <w:left w:val="none" w:sz="0" w:space="0" w:color="auto"/>
        <w:bottom w:val="none" w:sz="0" w:space="0" w:color="auto"/>
        <w:right w:val="none" w:sz="0" w:space="0" w:color="auto"/>
      </w:divBdr>
    </w:div>
    <w:div w:id="212758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tagesschau-de.translate.goog/wirtschaft/digitales/telekom-drosselung-100.html?_x_tr_sl=de&amp;_x_tr_tl=en&amp;_x_tr_hl=de&amp;_x_tr_pto=" TargetMode="External"/><Relationship Id="rId13" Type="http://schemas.openxmlformats.org/officeDocument/2006/relationships/hyperlink" Target="https://www.berec.europa.eu/system/files/2025-01/BoR%20%2824%29%20177_BEREC%20Report%20on%20the%20IP-IC%20ecosystem_0.pdf" TargetMode="External"/><Relationship Id="rId3" Type="http://schemas.openxmlformats.org/officeDocument/2006/relationships/hyperlink" Target="https://connecteurope.org/news/connect-europe-calls-transformative-connectivity-policies-secure-europes-competitiveness" TargetMode="External"/><Relationship Id="rId7" Type="http://schemas.openxmlformats.org/officeDocument/2006/relationships/hyperlink" Target="https://www.wik.org/en/publications/publication/wettbewerbsverhaeltnisse-auf-den-transit-und-peeringmaerkten" TargetMode="External"/><Relationship Id="rId12" Type="http://schemas.openxmlformats.org/officeDocument/2006/relationships/hyperlink" Target="https://www.monopolkommission.de/images/Policy_Brief/MK_Policy_Brief_12-en.pdf" TargetMode="External"/><Relationship Id="rId2" Type="http://schemas.openxmlformats.org/officeDocument/2006/relationships/hyperlink" Target="https://www.telefonica.com/es/wp-content/uploads/sites/4/2023/05/Contribution-to-Exploratory-Consultation-Telefonica.pdf" TargetMode="External"/><Relationship Id="rId1" Type="http://schemas.openxmlformats.org/officeDocument/2006/relationships/hyperlink" Target="https://connecteurope.org/insights/reports/europes-internet-ecosystem-socio-economic-benefits-fairer-balance-between-tech" TargetMode="External"/><Relationship Id="rId6" Type="http://schemas.openxmlformats.org/officeDocument/2006/relationships/hyperlink" Target="https://datatracker.ietf.org/doc/statement-iab-response-to-the-european-commissions-exploratory-consultation-on-the-future-of-the-electronic-communications-sector-and-its-infrastructure/" TargetMode="External"/><Relationship Id="rId11" Type="http://schemas.openxmlformats.org/officeDocument/2006/relationships/hyperlink" Target="https://political-intelligence.com/news/unlocking-the-future-of-connectivity-an-in-depth-analysis-of-the-public-consultation-on-the-white-paper/" TargetMode="External"/><Relationship Id="rId5" Type="http://schemas.openxmlformats.org/officeDocument/2006/relationships/hyperlink" Target="https://www.beuc.eu/position-papers/mind-connectivity-gap-making-digital-infrastructure-work-consumers" TargetMode="External"/><Relationship Id="rId10" Type="http://schemas.openxmlformats.org/officeDocument/2006/relationships/hyperlink" Target="https://www.berec.europa.eu/system/files/202305/BoR%20%2823%29%20131d%20Annex%20to%20Section%204.pdf" TargetMode="External"/><Relationship Id="rId4" Type="http://schemas.openxmlformats.org/officeDocument/2006/relationships/hyperlink" Target="https://www.telekom.com/resource/blob/1069706/7cdc6a3b8cf516cd8852f63008a4872b/dl-dt-submission-ec-whitepaper-data.pdf" TargetMode="External"/><Relationship Id="rId9" Type="http://schemas.openxmlformats.org/officeDocument/2006/relationships/hyperlink" Target="https://digital-strategy.ec.europa.eu/en/library/results-exploratory-consultation-future-electronic-communications-sector-and-its-infrastructure" TargetMode="External"/><Relationship Id="rId14" Type="http://schemas.openxmlformats.org/officeDocument/2006/relationships/hyperlink" Target="https://netzbremse.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f9c6d7-f859-44ca-8e06-1f42741c93c1">
      <Terms xmlns="http://schemas.microsoft.com/office/infopath/2007/PartnerControls"/>
    </lcf76f155ced4ddcb4097134ff3c332f>
    <TaxCatchAll xmlns="87c780c7-e6aa-48c6-a571-78954b2467e8"/>
    <_Flow_SignoffStatus xmlns="e2f9c6d7-f859-44ca-8e06-1f42741c93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DF5673CAB0EB43A15B798E043D4E38" ma:contentTypeVersion="19" ma:contentTypeDescription="Crée un document." ma:contentTypeScope="" ma:versionID="66e8be82f53ab0d1144eb85fd180e2c0">
  <xsd:schema xmlns:xsd="http://www.w3.org/2001/XMLSchema" xmlns:xs="http://www.w3.org/2001/XMLSchema" xmlns:p="http://schemas.microsoft.com/office/2006/metadata/properties" xmlns:ns2="e2f9c6d7-f859-44ca-8e06-1f42741c93c1" xmlns:ns3="87c780c7-e6aa-48c6-a571-78954b2467e8" targetNamespace="http://schemas.microsoft.com/office/2006/metadata/properties" ma:root="true" ma:fieldsID="14f0453a1f4e4517f4c58fb152780065" ns2:_="" ns3:_="">
    <xsd:import namespace="e2f9c6d7-f859-44ca-8e06-1f42741c93c1"/>
    <xsd:import namespace="87c780c7-e6aa-48c6-a571-78954b2467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9c6d7-f859-44ca-8e06-1f42741c9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1cead506-e50e-4b36-bce0-71f6a127c6a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_Flow_SignoffStatus" ma:index="26"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780c7-e6aa-48c6-a571-78954b2467e8"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cee745a-7e93-44a5-b28c-e00deb25f796}" ma:internalName="TaxCatchAll" ma:showField="CatchAllData" ma:web="87c780c7-e6aa-48c6-a571-78954b246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45632-1956-47B3-B585-97A7E913C472}">
  <ds:schemaRefs>
    <ds:schemaRef ds:uri="http://schemas.microsoft.com/office/2006/metadata/properties"/>
    <ds:schemaRef ds:uri="http://schemas.microsoft.com/office/infopath/2007/PartnerControls"/>
    <ds:schemaRef ds:uri="e2f9c6d7-f859-44ca-8e06-1f42741c93c1"/>
    <ds:schemaRef ds:uri="87c780c7-e6aa-48c6-a571-78954b2467e8"/>
  </ds:schemaRefs>
</ds:datastoreItem>
</file>

<file path=customXml/itemProps2.xml><?xml version="1.0" encoding="utf-8"?>
<ds:datastoreItem xmlns:ds="http://schemas.openxmlformats.org/officeDocument/2006/customXml" ds:itemID="{B250F703-80C2-4CC7-83D5-EEE4A0D9C605}">
  <ds:schemaRefs>
    <ds:schemaRef ds:uri="http://schemas.openxmlformats.org/officeDocument/2006/bibliography"/>
  </ds:schemaRefs>
</ds:datastoreItem>
</file>

<file path=customXml/itemProps3.xml><?xml version="1.0" encoding="utf-8"?>
<ds:datastoreItem xmlns:ds="http://schemas.openxmlformats.org/officeDocument/2006/customXml" ds:itemID="{4338C0CE-6FB4-4B73-A13B-88BF6C3C0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9c6d7-f859-44ca-8e06-1f42741c93c1"/>
    <ds:schemaRef ds:uri="87c780c7-e6aa-48c6-a571-78954b246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1306C-5F73-488F-8E27-01CBB3707C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Links>
    <vt:vector size="78" baseType="variant">
      <vt:variant>
        <vt:i4>5308416</vt:i4>
      </vt:variant>
      <vt:variant>
        <vt:i4>33</vt:i4>
      </vt:variant>
      <vt:variant>
        <vt:i4>0</vt:i4>
      </vt:variant>
      <vt:variant>
        <vt:i4>5</vt:i4>
      </vt:variant>
      <vt:variant>
        <vt:lpwstr>https://netzbremse.de/en/</vt:lpwstr>
      </vt:variant>
      <vt:variant>
        <vt:lpwstr/>
      </vt:variant>
      <vt:variant>
        <vt:i4>6619263</vt:i4>
      </vt:variant>
      <vt:variant>
        <vt:i4>30</vt:i4>
      </vt:variant>
      <vt:variant>
        <vt:i4>0</vt:i4>
      </vt:variant>
      <vt:variant>
        <vt:i4>5</vt:i4>
      </vt:variant>
      <vt:variant>
        <vt:lpwstr>https://www.berec.europa.eu/system/files/2025-01/BoR (24) 177_BEREC Report on the IP-IC ecosystem_0.pdf</vt:lpwstr>
      </vt:variant>
      <vt:variant>
        <vt:lpwstr/>
      </vt:variant>
      <vt:variant>
        <vt:i4>1572889</vt:i4>
      </vt:variant>
      <vt:variant>
        <vt:i4>27</vt:i4>
      </vt:variant>
      <vt:variant>
        <vt:i4>0</vt:i4>
      </vt:variant>
      <vt:variant>
        <vt:i4>5</vt:i4>
      </vt:variant>
      <vt:variant>
        <vt:lpwstr>https://political-intelligence.com/news/unlocking-the-future-of-connectivity-an-in-depth-analysis-of-the-public-consultation-on-the-white-paper/)</vt:lpwstr>
      </vt:variant>
      <vt:variant>
        <vt:lpwstr/>
      </vt:variant>
      <vt:variant>
        <vt:i4>5505051</vt:i4>
      </vt:variant>
      <vt:variant>
        <vt:i4>24</vt:i4>
      </vt:variant>
      <vt:variant>
        <vt:i4>0</vt:i4>
      </vt:variant>
      <vt:variant>
        <vt:i4>5</vt:i4>
      </vt:variant>
      <vt:variant>
        <vt:lpwstr>https://www.berec.europa.eu/system/files/202305/BoR (23) 131d Annex to Section 4.pdf</vt:lpwstr>
      </vt:variant>
      <vt:variant>
        <vt:lpwstr/>
      </vt:variant>
      <vt:variant>
        <vt:i4>262231</vt:i4>
      </vt:variant>
      <vt:variant>
        <vt:i4>21</vt:i4>
      </vt:variant>
      <vt:variant>
        <vt:i4>0</vt:i4>
      </vt:variant>
      <vt:variant>
        <vt:i4>5</vt:i4>
      </vt:variant>
      <vt:variant>
        <vt:lpwstr>https://digital-strategy.ec.europa.eu/en/library/results-exploratory-consultation-future-electronic-communications-sector-and-its-infrastructure</vt:lpwstr>
      </vt:variant>
      <vt:variant>
        <vt:lpwstr/>
      </vt:variant>
      <vt:variant>
        <vt:i4>6029376</vt:i4>
      </vt:variant>
      <vt:variant>
        <vt:i4>18</vt:i4>
      </vt:variant>
      <vt:variant>
        <vt:i4>0</vt:i4>
      </vt:variant>
      <vt:variant>
        <vt:i4>5</vt:i4>
      </vt:variant>
      <vt:variant>
        <vt:lpwstr>https://www-tagesschau-de.translate.goog/wirtschaft/digitales/telekom-drosselung-100.html?_x_tr_sl=de&amp;_x_tr_tl=en&amp;_x_tr_hl=de&amp;_x_tr_pto=</vt:lpwstr>
      </vt:variant>
      <vt:variant>
        <vt:lpwstr/>
      </vt:variant>
      <vt:variant>
        <vt:i4>6160473</vt:i4>
      </vt:variant>
      <vt:variant>
        <vt:i4>15</vt:i4>
      </vt:variant>
      <vt:variant>
        <vt:i4>0</vt:i4>
      </vt:variant>
      <vt:variant>
        <vt:i4>5</vt:i4>
      </vt:variant>
      <vt:variant>
        <vt:lpwstr>https://www.wik.org/en/publications/publication/wettbewerbsverhaeltnisse-auf-den-transit-und-peeringmaerkten</vt:lpwstr>
      </vt:variant>
      <vt:variant>
        <vt:lpwstr/>
      </vt:variant>
      <vt:variant>
        <vt:i4>3735655</vt:i4>
      </vt:variant>
      <vt:variant>
        <vt:i4>12</vt:i4>
      </vt:variant>
      <vt:variant>
        <vt:i4>0</vt:i4>
      </vt:variant>
      <vt:variant>
        <vt:i4>5</vt:i4>
      </vt:variant>
      <vt:variant>
        <vt:lpwstr>https://datatracker.ietf.org/doc/statement-iab-response-to-the-european-commissions-exploratory-consultation-on-the-future-of-the-electronic-communications-sector-and-its-infrastructure/</vt:lpwstr>
      </vt:variant>
      <vt:variant>
        <vt:lpwstr/>
      </vt:variant>
      <vt:variant>
        <vt:i4>1048593</vt:i4>
      </vt:variant>
      <vt:variant>
        <vt:i4>9</vt:i4>
      </vt:variant>
      <vt:variant>
        <vt:i4>0</vt:i4>
      </vt:variant>
      <vt:variant>
        <vt:i4>5</vt:i4>
      </vt:variant>
      <vt:variant>
        <vt:lpwstr>https://etno.eu/downloads/reports/europes internet ecosystem. socio-economic benefits of a fairer balance between tech giants and telecom operators by axon for etno.pdf</vt:lpwstr>
      </vt:variant>
      <vt:variant>
        <vt:lpwstr/>
      </vt:variant>
      <vt:variant>
        <vt:i4>6357027</vt:i4>
      </vt:variant>
      <vt:variant>
        <vt:i4>6</vt:i4>
      </vt:variant>
      <vt:variant>
        <vt:i4>0</vt:i4>
      </vt:variant>
      <vt:variant>
        <vt:i4>5</vt:i4>
      </vt:variant>
      <vt:variant>
        <vt:lpwstr>https://www.telekom.com/resource/blob/1069706/7cdc6a3b8cf516cd8852f63008a4872b/dl-dt-submission-ec-whitepaper-data.pdf.</vt:lpwstr>
      </vt:variant>
      <vt:variant>
        <vt:lpwstr/>
      </vt:variant>
      <vt:variant>
        <vt:i4>2359356</vt:i4>
      </vt:variant>
      <vt:variant>
        <vt:i4>3</vt:i4>
      </vt:variant>
      <vt:variant>
        <vt:i4>0</vt:i4>
      </vt:variant>
      <vt:variant>
        <vt:i4>5</vt:i4>
      </vt:variant>
      <vt:variant>
        <vt:lpwstr>https://connecteurope.org/news/connect-europe-calls-transformative-connectivity-policies-secure-europes-competitiveness</vt:lpwstr>
      </vt:variant>
      <vt:variant>
        <vt:lpwstr/>
      </vt:variant>
      <vt:variant>
        <vt:i4>5505105</vt:i4>
      </vt:variant>
      <vt:variant>
        <vt:i4>0</vt:i4>
      </vt:variant>
      <vt:variant>
        <vt:i4>0</vt:i4>
      </vt:variant>
      <vt:variant>
        <vt:i4>5</vt:i4>
      </vt:variant>
      <vt:variant>
        <vt:lpwstr>https://www.telefonica.com/es/wp-content/uploads/sites/4/2023/05/Contribution-to-Exploratory-Consultation-Telefonica.pdf</vt:lpwstr>
      </vt:variant>
      <vt:variant>
        <vt:lpwstr/>
      </vt:variant>
      <vt:variant>
        <vt:i4>3014781</vt:i4>
      </vt:variant>
      <vt:variant>
        <vt:i4>0</vt:i4>
      </vt:variant>
      <vt:variant>
        <vt:i4>0</vt:i4>
      </vt:variant>
      <vt:variant>
        <vt:i4>5</vt:i4>
      </vt:variant>
      <vt:variant>
        <vt:lpwstr>https://cispe.cloud/cispe-comment-regarding-the-recent-consumer-complaint-against-deutsche-telekom-in-germany/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Desiree Miloshevic</cp:lastModifiedBy>
  <cp:revision>2</cp:revision>
  <dcterms:created xsi:type="dcterms:W3CDTF">2025-07-02T11:52:00Z</dcterms:created>
  <dcterms:modified xsi:type="dcterms:W3CDTF">2025-07-02T11:52:00Z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0x01010028DF5673CAB0EB43A15B798E043D4E38</vt:lpwstr>
  </property>
</Properties>
</file>